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rus-20260228.htm"/>
      <w:bookmarkStart w:id="1" w:name="kskrus20260228"/>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80" w:after="283"/>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80" w:after="283"/>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February 28,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__________ to 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001-39012</w:t>
      </w:r>
    </w:p>
    <w:p>
      <w:pPr>
        <w:pStyle w:val="TextBody"/>
        <w:pBdr>
          <w:bottom w:val="single" w:sz="4" w:space="1" w:color="000000"/>
        </w:pBdr>
        <w:bidi w:val="0"/>
        <w:spacing w:before="80" w:after="8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KURA SUSHI USA,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80" w:after="283"/>
        <w:jc w:val="center"/>
        <w:rPr/>
      </w:pPr>
      <w:r>
        <w:rPr/>
        <w:t> </w:t>
      </w:r>
    </w:p>
    <w:p>
      <w:pPr>
        <w:pStyle w:val="TextBody"/>
        <w:bidi w:val="0"/>
        <w:jc w:val="left"/>
        <w:rPr/>
      </w:pPr>
      <w:r>
        <w:rPr/>
        <w:t> </w:t>
      </w:r>
    </w:p>
    <w:tbl>
      <w:tblPr>
        <w:tblW w:w="4067" w:type="dxa"/>
        <w:jc w:val="left"/>
        <w:tblInd w:w="0" w:type="dxa"/>
        <w:tblLayout w:type="fixed"/>
        <w:tblCellMar>
          <w:top w:w="28" w:type="dxa"/>
          <w:left w:w="28" w:type="dxa"/>
          <w:bottom w:w="28" w:type="dxa"/>
          <w:right w:w="28" w:type="dxa"/>
        </w:tblCellMar>
      </w:tblPr>
      <w:tblGrid>
        <w:gridCol w:w="2821"/>
        <w:gridCol w:w="1246"/>
      </w:tblGrid>
      <w:tr>
        <w:trPr/>
        <w:tc>
          <w:tcPr>
            <w:tcW w:w="282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26-3808434</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82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17461 Derian Avenue,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Irvine,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92614</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(657) 333-4100</w:t>
      </w:r>
    </w:p>
    <w:p>
      <w:pPr>
        <w:pStyle w:val="TextBody"/>
        <w:pBdr>
          <w:bottom w:val="single" w:sz="4" w:space="1" w:color="000000"/>
        </w:pBdr>
        <w:bidi w:val="0"/>
        <w:spacing w:before="8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515" w:type="dxa"/>
        <w:jc w:val="left"/>
        <w:tblInd w:w="0" w:type="dxa"/>
        <w:tblLayout w:type="fixed"/>
        <w:tblCellMar>
          <w:top w:w="28" w:type="dxa"/>
          <w:left w:w="28" w:type="dxa"/>
          <w:bottom w:w="28" w:type="dxa"/>
          <w:right w:w="28" w:type="dxa"/>
        </w:tblCellMar>
      </w:tblPr>
      <w:tblGrid>
        <w:gridCol w:w="4081"/>
        <w:gridCol w:w="146"/>
        <w:gridCol w:w="826"/>
        <w:gridCol w:w="146"/>
        <w:gridCol w:w="33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KRUS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April 1, 2026, the registrant had 11,147,832</w:t>
      </w:r>
      <w:r>
        <w:rPr>
          <w:rFonts w:ascii="Times New Roman" w:hAnsi="Times New Roman"/>
          <w:color w:val="000000"/>
          <w:sz w:val="20"/>
        </w:rPr>
        <w:t xml:space="preserve"> </w:t>
      </w:r>
      <w:r>
        <w:rPr>
          <w:rFonts w:ascii="Times New Roman" w:hAnsi="Times New Roman"/>
          <w:color w:val="000000"/>
          <w:sz w:val="18"/>
        </w:rPr>
        <w:t>shares of Class</w:t>
      </w:r>
      <w:r>
        <w:rPr>
          <w:rFonts w:ascii="Times New Roman" w:hAnsi="Times New Roman"/>
          <w:color w:val="000000"/>
          <w:sz w:val="20"/>
        </w:rPr>
        <w:t xml:space="preserve"> </w:t>
      </w:r>
      <w:r>
        <w:rPr>
          <w:rFonts w:ascii="Times New Roman" w:hAnsi="Times New Roman"/>
          <w:color w:val="000000"/>
          <w:sz w:val="18"/>
        </w:rPr>
        <w:t>A common stock, $0.001 par value per share, outstanding and 1,000,050</w:t>
      </w:r>
      <w:r>
        <w:rPr>
          <w:rFonts w:ascii="Times New Roman" w:hAnsi="Times New Roman"/>
          <w:color w:val="000000"/>
          <w:sz w:val="20"/>
        </w:rPr>
        <w:t xml:space="preserve"> </w:t>
      </w:r>
      <w:r>
        <w:rPr>
          <w:rFonts w:ascii="Times New Roman" w:hAnsi="Times New Roman"/>
          <w:color w:val="000000"/>
          <w:sz w:val="18"/>
        </w:rPr>
        <w:t>shares of Class B common stock, $0.001 par</w:t>
      </w:r>
      <w:r>
        <w:rPr>
          <w:rFonts w:ascii="Times New Roman" w:hAnsi="Times New Roman"/>
          <w:color w:val="000000"/>
          <w:sz w:val="20"/>
        </w:rPr>
        <w:t xml:space="preserve"> </w:t>
      </w:r>
      <w:r>
        <w:rPr>
          <w:rFonts w:ascii="Times New Roman" w:hAnsi="Times New Roman"/>
          <w:color w:val="000000"/>
          <w:sz w:val="18"/>
        </w:rPr>
        <w:t>value per share, outstanding.</w:t>
      </w:r>
    </w:p>
    <w:p>
      <w:pPr>
        <w:pStyle w:val="TextBody"/>
        <w:pBdr>
          <w:bottom w:val="double" w:sz="4" w:space="1" w:color="000000"/>
        </w:pBdr>
        <w:bidi w:val="0"/>
        <w:jc w:val="center"/>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_financial_information_v2">
              <w:r>
                <w:rPr>
                  <w:rStyle w:val="InternetLink"/>
                  <w:rFonts w:ascii="Times New Roman" w:hAnsi="Times New Roman"/>
                  <w:color w:val="0563C1"/>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_unaudited">
              <w:r>
                <w:rPr>
                  <w:rStyle w:val="InternetLink"/>
                  <w:rFonts w:ascii="Times New Roman" w:hAnsi="Times New Roman"/>
                  <w:color w:val="0563C1"/>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563C1"/>
                  <w:sz w:val="20"/>
                  <w:u w:val="single"/>
                </w:rPr>
                <w:t>Condensed Balance Sheets</w:t>
              </w:r>
            </w:hyperlink>
            <w:hyperlink w:anchor="condensed_consolidated_balance_sheets">
              <w:r>
                <w:rPr>
                  <w:rStyle w:val="InternetLink"/>
                  <w:rFonts w:ascii="Times New Roman" w:hAnsi="Times New Roman"/>
                  <w:color w:val="0563C1"/>
                  <w:sz w:val="20"/>
                </w:rPr>
                <w:t xml:space="preserve"> </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_of_oper">
              <w:r>
                <w:rPr>
                  <w:rStyle w:val="InternetLink"/>
                  <w:rFonts w:ascii="Times New Roman" w:hAnsi="Times New Roman"/>
                  <w:color w:val="0563C1"/>
                  <w:sz w:val="20"/>
                  <w:u w:val="single"/>
                </w:rPr>
                <w:t>Condensed Statements of Operations and Comprehensive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stockholders_equity">
              <w:r>
                <w:rPr>
                  <w:rStyle w:val="InternetLink"/>
                  <w:rFonts w:ascii="Times New Roman" w:hAnsi="Times New Roman"/>
                  <w:color w:val="0563C1"/>
                  <w:sz w:val="20"/>
                  <w:u w:val="single"/>
                </w:rPr>
                <w:t>Condensed Statements of Stockholders’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563C1"/>
                  <w:sz w:val="20"/>
                  <w:u w:val="single"/>
                </w:rPr>
                <w:t>Condensed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financial_s">
              <w:r>
                <w:rPr>
                  <w:rStyle w:val="InternetLink"/>
                  <w:rFonts w:ascii="Times New Roman" w:hAnsi="Times New Roman"/>
                  <w:color w:val="0563C1"/>
                  <w:sz w:val="20"/>
                  <w:u w:val="single"/>
                </w:rPr>
                <w:t>Notes to Condensed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563C1"/>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563C1"/>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i_financial_information_v2"/>
      <w:bookmarkEnd w:id="2"/>
      <w:r>
        <w:rPr>
          <w:rFonts w:ascii="Times New Roman" w:hAnsi="Times New Roman"/>
          <w:b/>
          <w:color w:val="000000"/>
          <w:sz w:val="20"/>
        </w:rPr>
        <w:t>PART I—FINANCIAL</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3" w:name="financial_statement_unaudited"/>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Kura Sushi USA,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for par value)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270" w:type="dxa"/>
        <w:jc w:val="left"/>
        <w:tblInd w:w="0" w:type="dxa"/>
        <w:tblLayout w:type="fixed"/>
        <w:tblCellMar>
          <w:top w:w="28" w:type="dxa"/>
          <w:left w:w="28" w:type="dxa"/>
          <w:bottom w:w="28" w:type="dxa"/>
          <w:right w:w="28" w:type="dxa"/>
        </w:tblCellMar>
      </w:tblPr>
      <w:tblGrid>
        <w:gridCol w:w="5571"/>
        <w:gridCol w:w="146"/>
        <w:gridCol w:w="331"/>
        <w:gridCol w:w="1169"/>
        <w:gridCol w:w="166"/>
        <w:gridCol w:w="146"/>
        <w:gridCol w:w="298"/>
        <w:gridCol w:w="1052"/>
        <w:gridCol w:w="391"/>
      </w:tblGrid>
      <w:tr>
        <w:trPr/>
        <w:tc>
          <w:tcPr>
            <w:tcW w:w="5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February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August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Due from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171,190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460,980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430,942</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and wages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$0.001</w:t>
            </w:r>
            <w:r>
              <w:rPr>
                <w:rFonts w:ascii="Times New Roman" w:hAnsi="Times New Roman"/>
                <w:color w:val="000000"/>
                <w:sz w:val="20"/>
              </w:rPr>
              <w:t> </w:t>
            </w:r>
            <w:r>
              <w:rPr>
                <w:rFonts w:ascii="Times New Roman" w:hAnsi="Times New Roman"/>
                <w:color w:val="000000"/>
                <w:sz w:val="18"/>
              </w:rPr>
              <w:t>par value; 1,000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 xml:space="preserve">shares </w:t>
              <w:br/>
              <w:t>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A common stock, $0.001</w:t>
            </w:r>
            <w:r>
              <w:rPr>
                <w:rFonts w:ascii="Times New Roman" w:hAnsi="Times New Roman"/>
                <w:color w:val="000000"/>
                <w:sz w:val="20"/>
              </w:rPr>
              <w:t> </w:t>
            </w:r>
            <w:r>
              <w:rPr>
                <w:rFonts w:ascii="Times New Roman" w:hAnsi="Times New Roman"/>
                <w:color w:val="000000"/>
                <w:sz w:val="18"/>
              </w:rPr>
              <w:t>par value; 50,000</w:t>
            </w:r>
            <w:r>
              <w:rPr>
                <w:rFonts w:ascii="Times New Roman" w:hAnsi="Times New Roman"/>
                <w:color w:val="000000"/>
                <w:sz w:val="20"/>
              </w:rPr>
              <w:t> </w:t>
            </w:r>
            <w:r>
              <w:rPr>
                <w:rFonts w:ascii="Times New Roman" w:hAnsi="Times New Roman"/>
                <w:color w:val="000000"/>
                <w:sz w:val="18"/>
              </w:rPr>
              <w:t xml:space="preserve">shares authorized, </w:t>
              <w:br/>
              <w:t>11,136</w:t>
            </w:r>
            <w:r>
              <w:rPr>
                <w:rFonts w:ascii="Times New Roman" w:hAnsi="Times New Roman"/>
                <w:color w:val="000000"/>
                <w:sz w:val="20"/>
              </w:rPr>
              <w:t> </w:t>
            </w:r>
            <w:r>
              <w:rPr>
                <w:rFonts w:ascii="Times New Roman" w:hAnsi="Times New Roman"/>
                <w:color w:val="000000"/>
                <w:sz w:val="18"/>
              </w:rPr>
              <w:t>and 11,111</w:t>
            </w:r>
            <w:r>
              <w:rPr>
                <w:rFonts w:ascii="Times New Roman" w:hAnsi="Times New Roman"/>
                <w:color w:val="000000"/>
                <w:sz w:val="20"/>
              </w:rPr>
              <w:t> </w:t>
            </w:r>
            <w:r>
              <w:rPr>
                <w:rFonts w:ascii="Times New Roman" w:hAnsi="Times New Roman"/>
                <w:color w:val="000000"/>
                <w:sz w:val="18"/>
              </w:rPr>
              <w:t>shares issued and outstanding as of February 28, 2026</w:t>
              <w:br/>
              <w:t>and August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B common stock, $0.001</w:t>
            </w:r>
            <w:r>
              <w:rPr>
                <w:rFonts w:ascii="Times New Roman" w:hAnsi="Times New Roman"/>
                <w:color w:val="000000"/>
                <w:sz w:val="20"/>
              </w:rPr>
              <w:t> </w:t>
            </w:r>
            <w:r>
              <w:rPr>
                <w:rFonts w:ascii="Times New Roman" w:hAnsi="Times New Roman"/>
                <w:color w:val="000000"/>
                <w:sz w:val="18"/>
              </w:rPr>
              <w:t>par value; 10,000</w:t>
            </w:r>
            <w:r>
              <w:rPr>
                <w:rFonts w:ascii="Times New Roman" w:hAnsi="Times New Roman"/>
                <w:color w:val="000000"/>
                <w:sz w:val="20"/>
              </w:rPr>
              <w:t> </w:t>
            </w:r>
            <w:r>
              <w:rPr>
                <w:rFonts w:ascii="Times New Roman" w:hAnsi="Times New Roman"/>
                <w:color w:val="000000"/>
                <w:sz w:val="18"/>
              </w:rPr>
              <w:t xml:space="preserve">shares authorized, </w:t>
              <w:br/>
              <w:t>1,000</w:t>
            </w:r>
            <w:r>
              <w:rPr>
                <w:rFonts w:ascii="Times New Roman" w:hAnsi="Times New Roman"/>
                <w:color w:val="000000"/>
                <w:sz w:val="20"/>
              </w:rPr>
              <w:t> </w:t>
            </w:r>
            <w:r>
              <w:rPr>
                <w:rFonts w:ascii="Times New Roman" w:hAnsi="Times New Roman"/>
                <w:color w:val="000000"/>
                <w:sz w:val="18"/>
              </w:rPr>
              <w:t>shares issued and outstanding as of February 28, 2026</w:t>
              <w:br/>
              <w:t>and August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460,980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430,942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Kura Sushi USA, Inc.</w:t>
      </w:r>
    </w:p>
    <w:p>
      <w:pPr>
        <w:pStyle w:val="TextBody"/>
        <w:bidi w:val="0"/>
        <w:jc w:val="center"/>
        <w:rPr>
          <w:rFonts w:ascii="Times New Roman" w:hAnsi="Times New Roman"/>
          <w:b/>
          <w:color w:val="000000"/>
          <w:sz w:val="20"/>
        </w:rPr>
      </w:pPr>
      <w:bookmarkStart w:id="5" w:name="condensed_consolidated_statement_of_oper"/>
      <w:bookmarkEnd w:id="5"/>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for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75"/>
        <w:gridCol w:w="146"/>
        <w:gridCol w:w="277"/>
        <w:gridCol w:w="888"/>
        <w:gridCol w:w="218"/>
        <w:gridCol w:w="191"/>
        <w:gridCol w:w="277"/>
        <w:gridCol w:w="888"/>
        <w:gridCol w:w="166"/>
        <w:gridCol w:w="146"/>
        <w:gridCol w:w="242"/>
        <w:gridCol w:w="897"/>
        <w:gridCol w:w="190"/>
        <w:gridCol w:w="167"/>
        <w:gridCol w:w="242"/>
        <w:gridCol w:w="897"/>
        <w:gridCol w:w="598"/>
      </w:tblGrid>
      <w:tr>
        <w:trPr/>
        <w:tc>
          <w:tcPr>
            <w:tcW w:w="3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February 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80,018</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153,473</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129,350</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and beverage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37,297</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43,828</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23,394</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18,121</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115,476</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19,718</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82,246</w:t>
            </w:r>
          </w:p>
        </w:tc>
        <w:tc>
          <w:tcPr>
            <w:tcW w:w="2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159,381</w:t>
            </w:r>
          </w:p>
        </w:tc>
        <w:tc>
          <w:tcPr>
            <w:tcW w:w="19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135,413</w:t>
            </w:r>
          </w:p>
        </w:tc>
        <w:tc>
          <w:tcPr>
            <w:tcW w:w="5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Class A and Class B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and Class B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Kura Sushi USA, Inc.</w:t>
      </w:r>
    </w:p>
    <w:p>
      <w:pPr>
        <w:pStyle w:val="TextBody"/>
        <w:bidi w:val="0"/>
        <w:jc w:val="center"/>
        <w:rPr>
          <w:rFonts w:ascii="Times New Roman" w:hAnsi="Times New Roman"/>
          <w:sz w:val="20"/>
        </w:rPr>
      </w:pPr>
      <w:bookmarkStart w:id="6" w:name="condensed_statements_stockholders_equity"/>
      <w:bookmarkEnd w:id="6"/>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942" w:type="dxa"/>
        <w:jc w:val="left"/>
        <w:tblInd w:w="0" w:type="dxa"/>
        <w:tblLayout w:type="fixed"/>
        <w:tblCellMar>
          <w:top w:w="28" w:type="dxa"/>
          <w:left w:w="28" w:type="dxa"/>
          <w:bottom w:w="28" w:type="dxa"/>
          <w:right w:w="28" w:type="dxa"/>
        </w:tblCellMar>
      </w:tblPr>
      <w:tblGrid>
        <w:gridCol w:w="1451"/>
        <w:gridCol w:w="146"/>
        <w:gridCol w:w="146"/>
        <w:gridCol w:w="676"/>
        <w:gridCol w:w="146"/>
        <w:gridCol w:w="146"/>
        <w:gridCol w:w="295"/>
        <w:gridCol w:w="486"/>
        <w:gridCol w:w="146"/>
        <w:gridCol w:w="146"/>
        <w:gridCol w:w="146"/>
        <w:gridCol w:w="571"/>
        <w:gridCol w:w="146"/>
        <w:gridCol w:w="146"/>
        <w:gridCol w:w="295"/>
        <w:gridCol w:w="486"/>
        <w:gridCol w:w="146"/>
        <w:gridCol w:w="146"/>
        <w:gridCol w:w="213"/>
        <w:gridCol w:w="793"/>
        <w:gridCol w:w="146"/>
        <w:gridCol w:w="146"/>
        <w:gridCol w:w="270"/>
        <w:gridCol w:w="946"/>
        <w:gridCol w:w="166"/>
        <w:gridCol w:w="146"/>
        <w:gridCol w:w="303"/>
        <w:gridCol w:w="1123"/>
        <w:gridCol w:w="166"/>
        <w:gridCol w:w="146"/>
        <w:gridCol w:w="255"/>
        <w:gridCol w:w="946"/>
        <w:gridCol w:w="311"/>
      </w:tblGrid>
      <w:tr>
        <w:trPr/>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Accumulated Other </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August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231,070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November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229,201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228,811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August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in connection with follow-on public offering, net of underwriter discounts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November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Kura Sushi USA, Inc.</w:t>
      </w:r>
    </w:p>
    <w:p>
      <w:pPr>
        <w:pStyle w:val="TextBody"/>
        <w:bidi w:val="0"/>
        <w:jc w:val="center"/>
        <w:rPr>
          <w:rFonts w:ascii="Times New Roman" w:hAnsi="Times New Roman"/>
          <w:b/>
          <w:color w:val="000000"/>
          <w:sz w:val="20"/>
        </w:rPr>
      </w:pPr>
      <w:bookmarkStart w:id="7" w:name="condensed_statements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84"/>
        <w:gridCol w:w="146"/>
        <w:gridCol w:w="263"/>
        <w:gridCol w:w="922"/>
        <w:gridCol w:w="208"/>
        <w:gridCol w:w="182"/>
        <w:gridCol w:w="263"/>
        <w:gridCol w:w="922"/>
        <w:gridCol w:w="815"/>
      </w:tblGrid>
      <w:tr>
        <w:trPr/>
        <w:tc>
          <w:tcPr>
            <w:tcW w:w="6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Stock-based compensation, net of amounts capitalized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Bond premium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Due from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Deposits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Salaries and wages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 and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8,090</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initial 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liquor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(33,708</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and redemptions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principal on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on vested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follow-on public offering, net of discounts and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costs related to the follow-on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64,958</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(20,893</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34,185</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47,498</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50,986</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26,605</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85,171</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unpaid for 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capitalized to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Kura Sushi USA, Inc.</w:t>
      </w:r>
    </w:p>
    <w:p>
      <w:pPr>
        <w:pStyle w:val="TextBody"/>
        <w:bidi w:val="0"/>
        <w:jc w:val="center"/>
        <w:rPr>
          <w:rFonts w:ascii="Times New Roman" w:hAnsi="Times New Roman"/>
          <w:b/>
          <w:color w:val="000000"/>
          <w:sz w:val="20"/>
        </w:rPr>
      </w:pPr>
      <w:bookmarkStart w:id="8" w:name="notes_to_unaudited_condensed_financial_s"/>
      <w:bookmarkEnd w:id="8"/>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Organization and 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Kura Sushi USA, Inc. is a technology-enabled Japanese restaurant concept that provides guests with a distinctive dining experience by serving authentic Japanese cuisine through an engaging revolving sushi service model, which the Company refers to as the “Kura Experience.” Kura Sushi encourages healthy lifestyles by serving freshly prepared Japanese cuisine using high-quality ingredients that are free from artificial seasonings, sweeteners, colorings, and preservatives. Kura Sushi aims to make quality Japanese cuisine accessible to its guests across the United States through affordable prices and an inviting atmosphere. “Kura Sushi USA,” “Kura Sushi,” “Kura,” “our” and the “Company” refer to Kura Sushi USA, Inc. unless expressly indicated or the context otherwise requires.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(the “Condensed Financial Statements”) have been prepared by the Company in accordance with generally accepted accounting principles in the United States (“GAAP”) and pursuant to the rules and regulations of the Securities and Exchange Commission (the “SEC”). Certain information and footnote disclosures normally included in financial statements prepared in accordance with GAAP have been condensed or omitted pursuant to the rules and regulations of the SEC. As such, these Condensed Financial Statements should be read in conjunction with the Company’s audited financial statements and accompanying notes included in its Annual Report on Form 10-K for the fiscal year ended August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accounting policies followed by the Company are set forth in Part II, Item 8, Note 2, Basis of Presentation and Summary of Significant Accounting Policies, of the Notes to Financial Statements included in the Company’s Annual Report on Form 10</w:t>
        <w:noBreakHyphen/>
        <w:t>K for the fiscal year ended August 31, 2025. In the opinion of management, all adjustments necessary to fairly state the Condensed Financial Statements have been made. All such adjustments are of a normal, recurring nature. The results of operations for interim periods are not necessarily indicative of results to be expected for the fiscal year ending August 31, 2026 or for any other future annual or interim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fiscal year begins on September 1 and ends on August 31, and references made to “fiscal year 2026” and “fiscal year 2025” refer to the Company’s fiscal years ending August 31, 2026 and ended August 31,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items subject to such estimates include asset retirement obligations, stock-based compensation, the useful lives of assets, the assessment of the recoverability of long-lived assets, and income taxes. The Company evaluates its estimates and assumptions on an ongoing basis using historical experience and other factors and adjusts those estimates and assumptions when facts and circumstances dictate. Actual results could differ materially from those estimates and assumptions.</w:t>
      </w:r>
    </w:p>
    <w:p>
      <w:pPr>
        <w:pStyle w:val="TextBody"/>
        <w:bidi w:val="0"/>
        <w:spacing w:before="360" w:after="160"/>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invests in securities, including certificates of deposit, Treasury notes, and U.S. Government Agency debt securities. Investment classification is determined based on the accounting guidance as available for sale or held to maturity. Certificates of deposit and Treasury notes are classified as available-for-sale debt securities and measured at fair value, with unrealized gains or losses recorded in other comprehensive income (loss). U.S. Government Agency debt securities are classified as held-to-maturity and measured at amortized cost. Realized gains or losses are determined on a specific identification basis. The classification of these investments as either short-term or long-term is based on their original maturity dates, with short-term investments having maturities greater than three months but less than one year, and long-term investments having maturities greater than one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which requires greater disaggregation of income tax disclosures related to the income tax rate reconciliation and income taxes paid and effective for fiscal years beginning after December 15, 2024. Early adoption is permitted for annual financial statements that have not yet been issued. The amendments should be applied on a prospective basis although retrospective application is permitted. The Company expects to adopt the guidance in its annual report on Form 10-K for the fiscal year ending August 31, 2026. The Company is currently evaluating the effects of this pronouncement on its financial statements and expects the update to result in additional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which requires public companies to disaggregate key expense categories such as inventory purchases, employee compensation and depreciation in their financial statements. In January 2025, the FASB issued ASU 2025-01 “Income Statement-Reporting Comprehensive Income- Expense Disaggregation Disclosures- Clarifying the Effective Date”, which amends the effective date of ASU 2024-03 to clarify that all public business entities are required to adopt the guidance in annual reporting periods beginning after December 15, 2026, and interim periods within annual reporting periods beginning after December 15, 2027. Early adoption is permitted. The Company expects to adopt the guidance in its annual report on Form 10-K for the fiscal year ending August 31, 2028. The Company is currently evaluating the effects of this pronouncement on its financial statements and expects the update to result in additional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Targeted Improvements to the Accounting for Internal-Use Software, which modernizes guidance for internal-use software costs. The amendments in this update improve the operability of the guidance by removing all references to software development project stages so that the guidance is neutral to different software development methods. This update is effective for annual periods beginning after December 15, 2027, including interim periods within those fiscal years, though early adoption is permitted. The Company expects to adopt the guidance in its annual report on Form 10-K for the fiscal year ending August 31, 2029. The Company is currently evaluating the effects of this pronouncement on its financial statements and does not expect the update to have a material effect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the Financial Accounting Standards Board (“FASB”) issued Accounting Standards Update (“ASU”) 2025-11, Narrow-Scope Improvements (Topic 270): Interim Reporting. This update makes targeted, narrow-scope improvements to the interim reporting guidance in Topic 270 to clarify application and improve consistency in practice. The amendments do not change the underlying principles of interim reporting. The amendments in this ASU are effective for interim reporting periods within annual reporting periods beginning after December 15, 2027. Early adoption is permitted. The Company expects to adopt the guidance in its Form 10-Q for the interim period ending November 30, 2028. The Company is currently evaluating the effects of this pronouncement on its consolidated financial statements and does not expect the adoption of this ASU to have a material effect on its consolidated financial statements.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S-3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29, 2025, the Company filed a universal shelf registration statement on Form S-3 (the “Registration Statement”) with the SEC in accordance with the Securities Act of 1933, as amended (the “Securities Act”). The Registration Statement was declared effective on January 7, 2026, and registered Class A common stock, preferred stock, depositary shares, warrants, subscription rights, share purchase contracts, share purchase units, and any combination of the foregoing, for a maximum aggregate offering price of up to $100.0 million, which may be sold from time to time. The terms of any securities offered under the Registration Statement and intended use of proceeds will be established at the times of the offerings and will be described in prospectus supplements filed with the SEC at the times of the offerings. The Registration Statement has a three-year term from the date of effectiveness.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Balance Sheet Components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Accounts and Other Receivables</w:t>
      </w:r>
    </w:p>
    <w:p>
      <w:pPr>
        <w:pStyle w:val="TextBody"/>
        <w:bidi w:val="0"/>
        <w:jc w:val="left"/>
        <w:rPr/>
      </w:pPr>
      <w:r>
        <w:rPr/>
        <w:t> </w:t>
      </w:r>
    </w:p>
    <w:tbl>
      <w:tblPr>
        <w:tblW w:w="7455" w:type="dxa"/>
        <w:jc w:val="left"/>
        <w:tblInd w:w="0" w:type="dxa"/>
        <w:tblLayout w:type="fixed"/>
        <w:tblCellMar>
          <w:top w:w="28" w:type="dxa"/>
          <w:left w:w="28" w:type="dxa"/>
          <w:bottom w:w="28" w:type="dxa"/>
          <w:right w:w="28" w:type="dxa"/>
        </w:tblCellMar>
      </w:tblPr>
      <w:tblGrid>
        <w:gridCol w:w="3391"/>
        <w:gridCol w:w="146"/>
        <w:gridCol w:w="453"/>
        <w:gridCol w:w="1227"/>
        <w:gridCol w:w="146"/>
        <w:gridCol w:w="146"/>
        <w:gridCol w:w="392"/>
        <w:gridCol w:w="1063"/>
        <w:gridCol w:w="4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February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card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accounts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jc w:val="left"/>
        <w:rPr/>
      </w:pPr>
      <w:r>
        <w:rPr/>
        <w:t> </w:t>
      </w:r>
    </w:p>
    <w:tbl>
      <w:tblPr>
        <w:tblW w:w="8295" w:type="dxa"/>
        <w:jc w:val="left"/>
        <w:tblInd w:w="0" w:type="dxa"/>
        <w:tblLayout w:type="fixed"/>
        <w:tblCellMar>
          <w:top w:w="28" w:type="dxa"/>
          <w:left w:w="28" w:type="dxa"/>
          <w:bottom w:w="28" w:type="dxa"/>
          <w:right w:w="28" w:type="dxa"/>
        </w:tblCellMar>
      </w:tblPr>
      <w:tblGrid>
        <w:gridCol w:w="4231"/>
        <w:gridCol w:w="146"/>
        <w:gridCol w:w="453"/>
        <w:gridCol w:w="1227"/>
        <w:gridCol w:w="146"/>
        <w:gridCol w:w="146"/>
        <w:gridCol w:w="392"/>
        <w:gridCol w:w="1063"/>
        <w:gridCol w:w="4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February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Property and Equipment - net</w:t>
      </w:r>
    </w:p>
    <w:p>
      <w:pPr>
        <w:pStyle w:val="TextBody"/>
        <w:bidi w:val="0"/>
        <w:jc w:val="left"/>
        <w:rPr/>
      </w:pPr>
      <w:r>
        <w:rPr/>
        <w:t> </w:t>
      </w:r>
    </w:p>
    <w:tbl>
      <w:tblPr>
        <w:tblW w:w="8315" w:type="dxa"/>
        <w:jc w:val="left"/>
        <w:tblInd w:w="0" w:type="dxa"/>
        <w:tblLayout w:type="fixed"/>
        <w:tblCellMar>
          <w:top w:w="28" w:type="dxa"/>
          <w:left w:w="28" w:type="dxa"/>
          <w:bottom w:w="28" w:type="dxa"/>
          <w:right w:w="28" w:type="dxa"/>
        </w:tblCellMar>
      </w:tblPr>
      <w:tblGrid>
        <w:gridCol w:w="4211"/>
        <w:gridCol w:w="146"/>
        <w:gridCol w:w="357"/>
        <w:gridCol w:w="1323"/>
        <w:gridCol w:w="166"/>
        <w:gridCol w:w="146"/>
        <w:gridCol w:w="309"/>
        <w:gridCol w:w="1146"/>
        <w:gridCol w:w="51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February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31, 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129,909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 –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223,817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property and equipment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171,190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and amortization expense for property and equipment was $4.3 million and $3.4 million for the three months ended February 28, 2026 and February 28, 2025, respectively, and was $8.4 million and $6.6 million for the six months ended February 28, 2026 and February 28, 2025, respectively.</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3.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and finance leases for its corporate offices, restaurant locations, warehouse, office equipment, kitchen equipment and automobiles. The Company’s finance leases are immaterial. The Company’s leases have remaining lease terms of less than 1 year to 20 years, some of which include options to extend the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related costs recognized in the condensed statements of operations and comprehensive loss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4"/>
        <w:gridCol w:w="3521"/>
        <w:gridCol w:w="272"/>
        <w:gridCol w:w="738"/>
        <w:gridCol w:w="188"/>
        <w:gridCol w:w="188"/>
        <w:gridCol w:w="272"/>
        <w:gridCol w:w="738"/>
        <w:gridCol w:w="146"/>
        <w:gridCol w:w="146"/>
        <w:gridCol w:w="241"/>
        <w:gridCol w:w="774"/>
        <w:gridCol w:w="167"/>
        <w:gridCol w:w="167"/>
        <w:gridCol w:w="241"/>
        <w:gridCol w:w="654"/>
        <w:gridCol w:w="198"/>
      </w:tblGrid>
      <w:tr>
        <w:trPr/>
        <w:tc>
          <w:tcPr>
            <w:tcW w:w="1554" w:type="dxa"/>
            <w:tcBorders/>
            <w:vAlign w:val="center"/>
          </w:tcPr>
          <w:p>
            <w:pPr>
              <w:pStyle w:val="TableContents"/>
              <w:bidi w:val="0"/>
              <w:spacing w:before="0" w:after="283"/>
              <w:jc w:val="left"/>
              <w:rPr>
                <w:sz w:val="4"/>
                <w:szCs w:val="4"/>
              </w:rPr>
            </w:pPr>
            <w:r>
              <w:rPr>
                <w:sz w:val="4"/>
                <w:szCs w:val="4"/>
              </w:rPr>
            </w:r>
          </w:p>
        </w:tc>
        <w:tc>
          <w:tcPr>
            <w:tcW w:w="35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February 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February 28,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cost</w:t>
            </w:r>
          </w:p>
        </w:tc>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related expenses, and general and administrative expenses</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related expenses, and general and administrative expenses</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6,453</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disclosures of cash flow information related to leases are as follows:</w:t>
      </w:r>
    </w:p>
    <w:p>
      <w:pPr>
        <w:pStyle w:val="TextBody"/>
        <w:bidi w:val="0"/>
        <w:spacing w:before="40" w:after="283"/>
        <w:jc w:val="left"/>
        <w:rPr/>
      </w:pPr>
      <w:r>
        <w:rPr/>
        <w:t> </w:t>
      </w:r>
    </w:p>
    <w:tbl>
      <w:tblPr>
        <w:tblW w:w="10103" w:type="dxa"/>
        <w:jc w:val="left"/>
        <w:tblInd w:w="0" w:type="dxa"/>
        <w:tblLayout w:type="fixed"/>
        <w:tblCellMar>
          <w:top w:w="28" w:type="dxa"/>
          <w:left w:w="28" w:type="dxa"/>
          <w:bottom w:w="28" w:type="dxa"/>
          <w:right w:w="28" w:type="dxa"/>
        </w:tblCellMar>
      </w:tblPr>
      <w:tblGrid>
        <w:gridCol w:w="6976"/>
        <w:gridCol w:w="146"/>
        <w:gridCol w:w="285"/>
        <w:gridCol w:w="913"/>
        <w:gridCol w:w="197"/>
        <w:gridCol w:w="197"/>
        <w:gridCol w:w="285"/>
        <w:gridCol w:w="913"/>
        <w:gridCol w:w="191"/>
      </w:tblGrid>
      <w:tr>
        <w:trPr/>
        <w:tc>
          <w:tcPr>
            <w:tcW w:w="6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paid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February 28, 2026, the Company had an additional $26.9 million of operating lease liabilities related to restaurants for which the Company had not yet taken possession. Subsequent to February 28, 2026, the Company entered into three additional operating leases related to restaurants for which the Company has not yet taken possession. The lease liabilities associated with the leases are $11.4 million and are expected to commence in fiscal year 2026 and 2027 with lease terms of up to 20 years. </w:t>
      </w:r>
    </w:p>
    <w:p>
      <w:pPr>
        <w:pStyle w:val="TextBody"/>
        <w:bidi w:val="0"/>
        <w:jc w:val="left"/>
        <w:rPr/>
      </w:pPr>
      <w:r>
        <w:rPr/>
        <w:t> </w:t>
      </w:r>
    </w:p>
    <w:p>
      <w:pPr>
        <w:pStyle w:val="TextBody"/>
        <w:bidi w:val="0"/>
        <w:spacing w:before="160" w:after="283"/>
        <w:jc w:val="left"/>
        <w:rPr>
          <w:rFonts w:ascii="Times New Roman" w:hAnsi="Times New Roman"/>
          <w:sz w:val="20"/>
        </w:rPr>
      </w:pPr>
      <w:bookmarkStart w:id="9" w:name="i_item2"/>
      <w:bookmarkEnd w:id="9"/>
      <w:r>
        <w:rPr>
          <w:rFonts w:ascii="Times New Roman" w:hAnsi="Times New Roman"/>
          <w:b/>
          <w:color w:val="000000"/>
          <w:sz w:val="20"/>
        </w:rPr>
        <w:t>Note 4.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Kura Sushi, Inc. (“Kura Japan”) is the majority stockholder of the Company and is incorporated and headquartered in Japan. In August 2019, the Company entered into a Shared Services Agreement with Kura Japan, pursuant to which Kura Japan provides the Company with certain strategic, operational and other support services, including assigning certain employees to work for the Company as expatriates to provide support to the Company’s operations, sending its employees to the Company on a short-term basis to provide support for the opening of new restaurants or renovation of existing restaurants, and providing the Company with certain supplies, parts and equipment for use in the Company’s restaurants. In addition, the Company has agreed to continue to provide Kura Japan with certain translational support services and market research. In exchange for such services, supplies, parts and equipment, the parties pay fees to each other as set forth under the Shared Services Agreement. A right of setoff is not required; however, from time to time, either party will net settle transactions as needed. Purchases of administrative supplies, expatriate salaries and travel and other administrative expenses payable to Kura Japan are included in general and administrative expenses in the accompanying statements of operations and comprehensive loss. Purchases of equipment from Kura Japan are included in property and equipment in the accompanying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2019, the Company entered into an Amended and Restated Exclusive License Agreement (the “License Agreement”) with Kura Japan. Pursuant to the License Agreement, the Company pays Kura Japan a royalty fee of 0.5% of the Company’s net sales in exchange for an exclusive, royalty-bearing license for the use of certain of Kura Japan’s intellectual property rights, including, but not limited to, Kura Japan’s trademarks for “Kura Sushi,” “Mr. Fresh” and “Kura Revolving Sushi Bar,” and patents for a food management system and the Mr. Fresh protective dome, among other intellectual property rights necessary to continue operation of the Company’s restaurants. Royalty payments to Kura Japan are included in other costs at the restaurant level in the accompanying condensed statements of operations and comprehensive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10, 2020, the Company and Kura Japan entered into a Revolving Credit Agreement, as amended, to provide the Company a revolving credit line of $45.0 million (as amended, the “Revolving Credit Agreement”). For additional information, see “Note 6.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Balances with Kura Japan are as follows:</w:t>
      </w:r>
    </w:p>
    <w:p>
      <w:pPr>
        <w:pStyle w:val="TextBody"/>
        <w:bidi w:val="0"/>
        <w:jc w:val="left"/>
        <w:rPr/>
      </w:pPr>
      <w:r>
        <w:rPr/>
        <w:t> </w:t>
      </w:r>
    </w:p>
    <w:tbl>
      <w:tblPr>
        <w:tblW w:w="5310" w:type="dxa"/>
        <w:jc w:val="left"/>
        <w:tblInd w:w="0" w:type="dxa"/>
        <w:tblLayout w:type="fixed"/>
        <w:tblCellMar>
          <w:top w:w="28" w:type="dxa"/>
          <w:left w:w="28" w:type="dxa"/>
          <w:bottom w:w="28" w:type="dxa"/>
          <w:right w:w="28" w:type="dxa"/>
        </w:tblCellMar>
      </w:tblPr>
      <w:tblGrid>
        <w:gridCol w:w="1546"/>
        <w:gridCol w:w="146"/>
        <w:gridCol w:w="559"/>
        <w:gridCol w:w="1121"/>
        <w:gridCol w:w="146"/>
        <w:gridCol w:w="146"/>
        <w:gridCol w:w="484"/>
        <w:gridCol w:w="971"/>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February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from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Reimbursements and other payments by the Company to Kura Japan were as follows: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402"/>
        <w:gridCol w:w="146"/>
        <w:gridCol w:w="328"/>
        <w:gridCol w:w="890"/>
        <w:gridCol w:w="227"/>
        <w:gridCol w:w="227"/>
        <w:gridCol w:w="328"/>
        <w:gridCol w:w="890"/>
        <w:gridCol w:w="346"/>
        <w:gridCol w:w="346"/>
        <w:gridCol w:w="304"/>
        <w:gridCol w:w="824"/>
        <w:gridCol w:w="210"/>
        <w:gridCol w:w="210"/>
        <w:gridCol w:w="304"/>
        <w:gridCol w:w="824"/>
        <w:gridCol w:w="399"/>
      </w:tblGrid>
      <w:tr>
        <w:trPr/>
        <w:tc>
          <w:tcPr>
            <w:tcW w:w="3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February 28,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Related party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Expatriate salaries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Travel and other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related party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2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w:t>
            </w:r>
          </w:p>
        </w:tc>
        <w:tc>
          <w:tcPr>
            <w:tcW w:w="2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3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3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Reimbursements by Kura Japan to the Company were $52 thousand and $43 thousand for the three months ended February 28, 2026 and February 28, 2025, respectively and were $261 thousand and $230 thousand for the six months ended February 28, 2026 and February 28, 2025, respectively. The reimbursements were primarily for travel, professional fees and other administrative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stock option activity under the Company’s 2018 Incentive Compensation Plan, as amended and restated (the “Stock Incentive Plan”):</w:t>
      </w:r>
    </w:p>
    <w:p>
      <w:pPr>
        <w:pStyle w:val="TextBody"/>
        <w:bidi w:val="0"/>
        <w:jc w:val="left"/>
        <w:rPr/>
      </w:pPr>
      <w:r>
        <w:rPr/>
        <w:t> </w:t>
      </w:r>
    </w:p>
    <w:tbl>
      <w:tblPr>
        <w:tblW w:w="7450" w:type="dxa"/>
        <w:jc w:val="left"/>
        <w:tblInd w:w="0" w:type="dxa"/>
        <w:tblLayout w:type="fixed"/>
        <w:tblCellMar>
          <w:top w:w="28" w:type="dxa"/>
          <w:left w:w="28" w:type="dxa"/>
          <w:bottom w:w="28" w:type="dxa"/>
          <w:right w:w="28" w:type="dxa"/>
        </w:tblCellMar>
      </w:tblPr>
      <w:tblGrid>
        <w:gridCol w:w="3076"/>
        <w:gridCol w:w="146"/>
        <w:gridCol w:w="289"/>
        <w:gridCol w:w="1556"/>
        <w:gridCol w:w="166"/>
        <w:gridCol w:w="146"/>
        <w:gridCol w:w="453"/>
        <w:gridCol w:w="1227"/>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br/>
              <w:t>Underlying</w:t>
              <w:br/>
              <w:t>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w:t>
              <w:br/>
              <w:t>Price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August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November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restricted stock unit (“RSU”) activity under the Stock Incentive Plan:</w:t>
      </w:r>
    </w:p>
    <w:tbl>
      <w:tblPr>
        <w:tblW w:w="7225" w:type="dxa"/>
        <w:jc w:val="left"/>
        <w:tblInd w:w="0" w:type="dxa"/>
        <w:tblLayout w:type="fixed"/>
        <w:tblCellMar>
          <w:top w:w="28" w:type="dxa"/>
          <w:left w:w="28" w:type="dxa"/>
          <w:bottom w:w="28" w:type="dxa"/>
          <w:right w:w="28" w:type="dxa"/>
        </w:tblCellMar>
      </w:tblPr>
      <w:tblGrid>
        <w:gridCol w:w="3076"/>
        <w:gridCol w:w="146"/>
        <w:gridCol w:w="267"/>
        <w:gridCol w:w="1353"/>
        <w:gridCol w:w="166"/>
        <w:gridCol w:w="146"/>
        <w:gridCol w:w="453"/>
        <w:gridCol w:w="1227"/>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br/>
              <w:t>Underlying</w:t>
              <w:br/>
              <w:t>Outstanding RSU</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w:t>
              <w:br/>
              <w:t>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August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November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 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and six months ended February 28, 2026, the Company granted 13,510 performance restricted stock units (“PSUs”) with a three-year performance vesting period and a weighted average grant date fair value of $66.81. The number of shares that will vest are based on the achievement of certain financial and operational metrics and may range from zero to a maximum amount. As of February 28, 2026, the Company has 22,234 PSUs outstanding with a weighted average grant date fair value of $71.99.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stock-based compensation recognized under the Stock Incentive Plan in the condensed statements of operations and comprehensive loss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40"/>
        <w:gridCol w:w="284"/>
        <w:gridCol w:w="771"/>
        <w:gridCol w:w="197"/>
        <w:gridCol w:w="197"/>
        <w:gridCol w:w="284"/>
        <w:gridCol w:w="771"/>
        <w:gridCol w:w="146"/>
        <w:gridCol w:w="146"/>
        <w:gridCol w:w="269"/>
        <w:gridCol w:w="730"/>
        <w:gridCol w:w="186"/>
        <w:gridCol w:w="186"/>
        <w:gridCol w:w="269"/>
        <w:gridCol w:w="730"/>
        <w:gridCol w:w="199"/>
      </w:tblGrid>
      <w:tr>
        <w:trPr/>
        <w:tc>
          <w:tcPr>
            <w:tcW w:w="484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8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February 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Restaurant-level stock-based compensation included in labor and related costs</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Corporate-level stock-based compensation included in general and administrative expenses</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net of amounts capitalized</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capitalized to property and equipment - net</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6.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10, 2020, the Company and Kura Japan entered into a Revolving Credit Agreement, as amended, establishing a $45.0 million revolving credit line for the Company. The maturity date for each advance is 60 months from the date of disbursement and the last day of the period of availability for advances is April 10, 2025. The Revolving Credit Note under the Revolving Credit Agreement has an interest rate for advances (made on or after April 10, 2021) fixed at 130% of the Annual Compounding Long-Term Applicable Federal Rate on the date such advance is made. There are no financial covenants under the Revolving Credit Agreement with which the Company must comply.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4, 2025, the Company and Kura Japan entered into a Third Amendment to Revolving Credit Agreement (the “Third Amendment”) to extend the last day of the period of availability for the advances under the credit line from April 10, 2025 to April 10, 2028. In connection with the Third Amendment, the Revolving Credit Note under the Revolving Credit Agreement was also amended by incorporating the same amendments as provided under the Third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February 28, 2026 and August 31, 2025, the Company had no outstanding balance and $45.0 million of availability remaining under the Revolving Credit Agreement. For additional information, see “Note 4. Related Party Transactions.”</w:t>
      </w:r>
    </w:p>
    <w:p>
      <w:pPr>
        <w:pStyle w:val="TextBody"/>
        <w:bidi w:val="0"/>
        <w:spacing w:before="12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7.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loss per share attributable to common stockholders is allocated based on the contractual participation rights of the Class A common stock and Class B common stock as if the loss for the year had been distributed. As the liquidation and dividend rights for Class A and Class B common stock are identical, the net loss attributable to all common stockholders is allocated on a proportionate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the Company’s basic and diluted net loss per share:</w:t>
      </w:r>
    </w:p>
    <w:p>
      <w:pPr>
        <w:pStyle w:val="TextBody"/>
        <w:bidi w:val="0"/>
        <w:jc w:val="left"/>
        <w:rPr/>
      </w:pPr>
      <w:r>
        <w:rPr/>
        <w:t> </w:t>
      </w:r>
    </w:p>
    <w:tbl>
      <w:tblPr>
        <w:tblW w:w="10519" w:type="dxa"/>
        <w:jc w:val="left"/>
        <w:tblInd w:w="0" w:type="dxa"/>
        <w:tblLayout w:type="fixed"/>
        <w:tblCellMar>
          <w:top w:w="28" w:type="dxa"/>
          <w:left w:w="28" w:type="dxa"/>
          <w:bottom w:w="28" w:type="dxa"/>
          <w:right w:w="28" w:type="dxa"/>
        </w:tblCellMar>
      </w:tblPr>
      <w:tblGrid>
        <w:gridCol w:w="1156"/>
        <w:gridCol w:w="146"/>
        <w:gridCol w:w="211"/>
        <w:gridCol w:w="676"/>
        <w:gridCol w:w="166"/>
        <w:gridCol w:w="146"/>
        <w:gridCol w:w="211"/>
        <w:gridCol w:w="571"/>
        <w:gridCol w:w="166"/>
        <w:gridCol w:w="146"/>
        <w:gridCol w:w="211"/>
        <w:gridCol w:w="676"/>
        <w:gridCol w:w="166"/>
        <w:gridCol w:w="146"/>
        <w:gridCol w:w="211"/>
        <w:gridCol w:w="571"/>
        <w:gridCol w:w="166"/>
        <w:gridCol w:w="146"/>
        <w:gridCol w:w="146"/>
        <w:gridCol w:w="211"/>
        <w:gridCol w:w="676"/>
        <w:gridCol w:w="166"/>
        <w:gridCol w:w="146"/>
        <w:gridCol w:w="211"/>
        <w:gridCol w:w="571"/>
        <w:gridCol w:w="166"/>
        <w:gridCol w:w="146"/>
        <w:gridCol w:w="211"/>
        <w:gridCol w:w="676"/>
        <w:gridCol w:w="166"/>
        <w:gridCol w:w="146"/>
        <w:gridCol w:w="211"/>
        <w:gridCol w:w="571"/>
        <w:gridCol w:w="21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February 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6"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 except per 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computes basic loss per common share using net loss and the weighted average number of common shares outstanding during the period, and computes diluted loss per common share using net loss and the weighted average number of common shares and potentially dilutive common shares outstanding during the period. Potentially dilutive common shares include dilutive outstanding employee stock options, RSUs and PSUs.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February 28, 2026, there were 729 thousand shares of common stock subject to outstanding employee stock options, RSUs and PSUs that were excluded from the calculation of diluted income per share because their inclusion would have been anti-dilutive. For the three and six months ended February 28, 2025, there were 679 thousand shares of common stock subject to outstanding employee stock options, RSUs and PSUs that were excluded from the calculation of diluted loss per share because their inclusion would have been anti-dilutive.</w:t>
      </w:r>
    </w:p>
    <w:p>
      <w:pPr>
        <w:pStyle w:val="TextBody"/>
        <w:bidi w:val="0"/>
        <w:spacing w:before="360" w:after="283"/>
        <w:jc w:val="left"/>
        <w:rPr>
          <w:rFonts w:ascii="Times New Roman" w:hAnsi="Times New Roman"/>
          <w:sz w:val="20"/>
        </w:rPr>
      </w:pPr>
      <w:r>
        <w:rPr>
          <w:rFonts w:ascii="Times New Roman" w:hAnsi="Times New Roman"/>
          <w:b/>
          <w:color w:val="000000"/>
          <w:sz w:val="20"/>
        </w:rPr>
        <w:t>Note 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 into various purchase obligations in the ordinary course of business, generally of a short-term nature. As of February 28, 2026, we had an aggregate of approximately $19.3 million in contractual obligations which consisted of $12.4 million in purchase commitments for food related to restaurant operations and $6.9 million related to the construction of new restaurants.</w:t>
      </w:r>
    </w:p>
    <w:p>
      <w:pPr>
        <w:pStyle w:val="TextBody"/>
        <w:bidi w:val="0"/>
        <w:spacing w:before="24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9, 2024, a former employee filed a putative class action complaint in the Superior Court of California in Los Angeles, individually and on behalf of others similarly situated, against the Company alleging certain violations of California labor laws. The complaint alleges various wage and hour violations under the California Labor Code and related statutes. Plaintiff has also served a Private Attorneys General Act (“PAGA”) notice for the same alleged wage and hour violations. In February 2026, the Company reached an agreement to settle the claims for $0.9 million, subject to court approval. The Company expensed $0.9 million related to this settlement within general and administrative expenses in the statements of operations and comprehensive loss during the three months ended February 28, 2026, and has an accrued liability of $0.9 million related to this settlement as of February 28,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involved from time to time in various legal proceedings that arise in the ordinary course of business, including but not limited to commercial disputes, environmental matters, employee related claims, intellectual property disputes and litigation in connection with transactions, including acquisitions and divestitures.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the Company does not believe that such litigation, claims, and administrative proceedings will have a material adverse effect on its business, financial position, results of operations or cash flows. However, a significant increase in the number of these claims or an increase in amounts owing under successful claims, including the putative class action referenced above, could materially and adversely affect its business, financial condition, results of operations or cash flows. The Company records a liability when a loss is considered probable, and the amount can be reasonably estimated.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9.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an income tax expense of $51 thousand and $38 thousand for the three months ended February 28, 2026 and February 28, 2025, respectively and income tax expense of $87 thousand and $77 thousand for the six months ended February 28, 2026 and February 28, 2025, respectively. The Company’s effective tax rates for the three and six months ended February 28, 2026 substantially differed from the federal statutory tax rate of 21% primarily due to a valuation allowance for the Company’s deferred tax assets and permanent differences related to the tax credit for a portion of the Social Security and Medicare taxes (Federal Insurance Contribution Act taxes) paid on employer tips.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continually monitors and performs an assessment of the realizability of its deferred tax assets,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not”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February 28, 2026 was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President signed into law, the reconciliation tax bill, commonly known as the "One Big Beautiful Bill Act" (OBBA). Notable corporate provisions include the restoration of 100% bonus depreciation; the creation of Section 174A, which reinstates expensing for domestic research and experimental expenditures; modifications to Section 163(j) interest limitations; updates to the rules for global intangible low-taxed income and foreign-derived intangible income; amendments to the rules for energy credits; and the expansion of Section 162(m) aggregation requirements. OBBA did not have a material impact on the Company’s effective tax rate or income tax expense for the three and six months ended February 28,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10.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Company’s assets measured at fair value on a recurring basis as of February 28, 2026.</w:t>
      </w:r>
    </w:p>
    <w:p>
      <w:pPr>
        <w:pStyle w:val="TextBody"/>
        <w:bidi w:val="0"/>
        <w:spacing w:before="120" w:after="283"/>
        <w:jc w:val="left"/>
        <w:rPr/>
      </w:pPr>
      <w:r>
        <w:rPr/>
        <w:t> </w:t>
      </w:r>
    </w:p>
    <w:tbl>
      <w:tblPr>
        <w:tblW w:w="8054" w:type="dxa"/>
        <w:jc w:val="left"/>
        <w:tblInd w:w="0" w:type="dxa"/>
        <w:tblLayout w:type="fixed"/>
        <w:tblCellMar>
          <w:top w:w="28" w:type="dxa"/>
          <w:left w:w="28" w:type="dxa"/>
          <w:bottom w:w="28" w:type="dxa"/>
          <w:right w:w="28" w:type="dxa"/>
        </w:tblCellMar>
      </w:tblPr>
      <w:tblGrid>
        <w:gridCol w:w="3391"/>
        <w:gridCol w:w="211"/>
        <w:gridCol w:w="676"/>
        <w:gridCol w:w="146"/>
        <w:gridCol w:w="146"/>
        <w:gridCol w:w="211"/>
        <w:gridCol w:w="676"/>
        <w:gridCol w:w="146"/>
        <w:gridCol w:w="146"/>
        <w:gridCol w:w="277"/>
        <w:gridCol w:w="458"/>
        <w:gridCol w:w="146"/>
        <w:gridCol w:w="146"/>
        <w:gridCol w:w="211"/>
        <w:gridCol w:w="676"/>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Deposit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bills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debt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at fair value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statements include cash and cash equivalents, accounts and other receivables, accounts payable, accrued expenses and other current liabilities, and salaries and wages payable for which the carrying amounts approximate fair value due to their short-term maturity. The fair value of our Treasury notes are valued using Level 1 inputs of the fair value hierarchy. The fair value of our Certificate of Deposit and U.S. Government Agency debt securities are valued using Level 2 inputs of the fair value hierarchy. Level 2 inputs are based on market data that include factors such as interest rates, market and pricing activity and other market-based valuation techniques. The fair value of payments due to or from Kura Japan is not determinable due to its related-party nature. These related-party balances are not based on observable market inputs and may not reflect arm’s-length terms, making a reliable fair value measurement impracticable.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11—Segment Information</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Company operates as one reportable segment: company-owned restaurants and in one geographic area: the United States of America. The Company does not have intra-entity sales or transfers. Sales represent sales of food and beverages in restaurants. The Chief Executive Officer, who serves as the Chief Operating Decision Maker (“CODM”), evaluates performance and allocates resources based on sales and operating income (loss). The CODM does not review segment assets at a level different than what is reported in the Company’s Consolidated Balance Sheet.</w:t>
      </w:r>
    </w:p>
    <w:p>
      <w:pPr>
        <w:pStyle w:val="TextBody"/>
        <w:bidi w:val="0"/>
        <w:spacing w:before="80" w:after="200"/>
        <w:jc w:val="left"/>
        <w:rPr>
          <w:rFonts w:ascii="Times New Roman" w:hAnsi="Times New Roman"/>
          <w:color w:val="000000"/>
          <w:sz w:val="20"/>
        </w:rPr>
      </w:pPr>
      <w:r>
        <w:rPr>
          <w:rFonts w:ascii="Times New Roman" w:hAnsi="Times New Roman"/>
          <w:color w:val="000000"/>
          <w:sz w:val="20"/>
        </w:rPr>
        <w:t>Reported segment sales and expenses are presented below:</w:t>
      </w:r>
    </w:p>
    <w:tbl>
      <w:tblPr>
        <w:tblW w:w="10205" w:type="dxa"/>
        <w:jc w:val="left"/>
        <w:tblInd w:w="0" w:type="dxa"/>
        <w:tblLayout w:type="fixed"/>
        <w:tblCellMar>
          <w:top w:w="28" w:type="dxa"/>
          <w:left w:w="28" w:type="dxa"/>
          <w:bottom w:w="28" w:type="dxa"/>
          <w:right w:w="28" w:type="dxa"/>
        </w:tblCellMar>
      </w:tblPr>
      <w:tblGrid>
        <w:gridCol w:w="3082"/>
        <w:gridCol w:w="546"/>
        <w:gridCol w:w="218"/>
        <w:gridCol w:w="701"/>
        <w:gridCol w:w="587"/>
        <w:gridCol w:w="566"/>
        <w:gridCol w:w="218"/>
        <w:gridCol w:w="701"/>
        <w:gridCol w:w="166"/>
        <w:gridCol w:w="146"/>
        <w:gridCol w:w="245"/>
        <w:gridCol w:w="911"/>
        <w:gridCol w:w="193"/>
        <w:gridCol w:w="170"/>
        <w:gridCol w:w="245"/>
        <w:gridCol w:w="911"/>
        <w:gridCol w:w="599"/>
      </w:tblGrid>
      <w:tr>
        <w:trPr/>
        <w:tc>
          <w:tcPr>
            <w:tcW w:w="308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February 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80,018</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129,350</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costs: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and beverage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24,317</w:t>
            </w:r>
          </w:p>
        </w:tc>
        <w:tc>
          <w:tcPr>
            <w:tcW w:w="5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37,297</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 and related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24,578</w:t>
            </w:r>
          </w:p>
        </w:tc>
        <w:tc>
          <w:tcPr>
            <w:tcW w:w="5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43,828</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related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w:t>
            </w:r>
          </w:p>
        </w:tc>
        <w:tc>
          <w:tcPr>
            <w:tcW w:w="5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5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18,121</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71,144</w:t>
            </w:r>
          </w:p>
        </w:tc>
        <w:tc>
          <w:tcPr>
            <w:tcW w:w="5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115,476</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19,718</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82,246</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159,381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135,413</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to 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12—Investments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of February 28, 2026 and August 31, 2025, the Company’s investments are summarized below. The Company has one certificate of deposit of $0.5 million, which is restricted to funding a collateral account relating to a standby letter of credit. Based on the evaluation of credit risk factors guaranteed by the U.S. government, the Company has concluded that an allowance for credit losses is unnecessary for its investments.</w:t>
      </w:r>
    </w:p>
    <w:tbl>
      <w:tblPr>
        <w:tblW w:w="10205" w:type="dxa"/>
        <w:jc w:val="left"/>
        <w:tblInd w:w="0" w:type="dxa"/>
        <w:tblLayout w:type="fixed"/>
        <w:tblCellMar>
          <w:top w:w="28" w:type="dxa"/>
          <w:left w:w="28" w:type="dxa"/>
          <w:bottom w:w="28" w:type="dxa"/>
          <w:right w:w="28" w:type="dxa"/>
        </w:tblCellMar>
      </w:tblPr>
      <w:tblGrid>
        <w:gridCol w:w="2762"/>
        <w:gridCol w:w="289"/>
        <w:gridCol w:w="930"/>
        <w:gridCol w:w="146"/>
        <w:gridCol w:w="146"/>
        <w:gridCol w:w="648"/>
        <w:gridCol w:w="1065"/>
        <w:gridCol w:w="146"/>
        <w:gridCol w:w="146"/>
        <w:gridCol w:w="621"/>
        <w:gridCol w:w="1109"/>
        <w:gridCol w:w="166"/>
        <w:gridCol w:w="146"/>
        <w:gridCol w:w="353"/>
        <w:gridCol w:w="1135"/>
        <w:gridCol w:w="397"/>
      </w:tblGrid>
      <w:tr>
        <w:trPr/>
        <w:tc>
          <w:tcPr>
            <w:tcW w:w="276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February 28, 2026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br/>
              <w: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notes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 of deposit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Held to maturity:</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Current</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21,388</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notes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Held to maturity:</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Non-Current</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21,580</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31,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br/>
              <w: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notes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 of deposit</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Current</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2"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w:t>
            </w:r>
          </w:p>
        </w:tc>
        <w:tc>
          <w:tcPr>
            <w:tcW w:w="1219" w:type="dxa"/>
            <w:gridSpan w:val="2"/>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2"/>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2"/>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notes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Held to maturity:</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Non-Current</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29,473</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following table sets forth the maturities of the Company’s investments as of February 28, 2026 and August 31, 2025. </w:t>
      </w:r>
    </w:p>
    <w:tbl>
      <w:tblPr>
        <w:tblW w:w="9698" w:type="dxa"/>
        <w:jc w:val="left"/>
        <w:tblInd w:w="0" w:type="dxa"/>
        <w:tblLayout w:type="fixed"/>
        <w:tblCellMar>
          <w:top w:w="28" w:type="dxa"/>
          <w:left w:w="28" w:type="dxa"/>
          <w:bottom w:w="28" w:type="dxa"/>
          <w:right w:w="28" w:type="dxa"/>
        </w:tblCellMar>
      </w:tblPr>
      <w:tblGrid>
        <w:gridCol w:w="3271"/>
        <w:gridCol w:w="377"/>
        <w:gridCol w:w="1213"/>
        <w:gridCol w:w="146"/>
        <w:gridCol w:w="146"/>
        <w:gridCol w:w="235"/>
        <w:gridCol w:w="755"/>
        <w:gridCol w:w="146"/>
        <w:gridCol w:w="146"/>
        <w:gridCol w:w="377"/>
        <w:gridCol w:w="1213"/>
        <w:gridCol w:w="146"/>
        <w:gridCol w:w="146"/>
        <w:gridCol w:w="235"/>
        <w:gridCol w:w="755"/>
        <w:gridCol w:w="391"/>
      </w:tblGrid>
      <w:tr>
        <w:trPr/>
        <w:tc>
          <w:tcPr>
            <w:tcW w:w="32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February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 through five years</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Held to maturity:</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 through five years</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unaudited financial statements and the related notes included in this Quarterly Report on Form 10-Q and with the audited financial statements and the related notes included in our Annual Report on Form 10-K for the fiscal year ended August 31, 2025 (the “Annual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212529"/>
          <w:sz w:val="20"/>
        </w:rPr>
        <w:t xml:space="preserve">In addition to historical information, the following discussion and analysis contains forward-looking statements, </w:t>
      </w:r>
      <w:r>
        <w:rPr>
          <w:rFonts w:ascii="Times New Roman" w:hAnsi="Times New Roman"/>
          <w:i/>
          <w:color w:val="000000"/>
          <w:sz w:val="20"/>
        </w:rPr>
        <w:t>such as statements about our plans, objectives, expectations, and intentions, which are based on current assumptions and involve risks, uncertainties and assumptions as set forth and described in the “Special Note Regarding Forward-Looking Statements” and “Risk Factors” sections of the Annual Report</w:t>
      </w:r>
      <w:r>
        <w:rPr>
          <w:rFonts w:ascii="Times New Roman" w:hAnsi="Times New Roman"/>
          <w:i/>
          <w:color w:val="212529"/>
          <w:sz w:val="20"/>
        </w:rPr>
        <w:t xml:space="preserve">. </w:t>
      </w:r>
      <w:r>
        <w:rPr>
          <w:rFonts w:ascii="Times New Roman" w:hAnsi="Times New Roman"/>
          <w:i/>
          <w:color w:val="000000"/>
          <w:sz w:val="20"/>
        </w:rPr>
        <w:t>You should review those sections in our Annual Report for a discussion of important factors, including the continuing development of our business and other factors that could cause actual results to differ materially from the results described in or implied by the forward-looking statements contained in this Quarterly Report on Form 10-Q.</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i/>
          <w:color w:val="000000"/>
          <w:sz w:val="20"/>
        </w:rPr>
        <w:t>Kura Sushi USA,” “Kura Sushi,” “Kura,” “we,” “us,” “our,” “our company” and the “Company” refer to Kura Sushi USA, Inc. unless expressly indicated or the context otherwise requires.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Kura Sushi USA is a technology-enabled Japanese restaurant concept that provides guests with a distinctive dining experience by serving authentic Japanese cuisine through an engaging revolving sushi service model, which we refer to as the “Kura Experience.” We encourage healthy lifestyles by serving freshly prepared Japanese cuisine using high-quality ingredients that are free from artificial seasonings, sweeteners, colorings, and preservatives. We aim to make quality Japanese cuisine accessible to our guests across the United States through affordable prices and an inviting atmosphere. </w:t>
      </w:r>
    </w:p>
    <w:p>
      <w:pPr>
        <w:pStyle w:val="TextBody"/>
        <w:bidi w:val="0"/>
        <w:spacing w:before="360" w:after="283"/>
        <w:jc w:val="left"/>
        <w:rPr>
          <w:rFonts w:ascii="Times New Roman" w:hAnsi="Times New Roman"/>
          <w:sz w:val="20"/>
        </w:rPr>
      </w:pPr>
      <w:r>
        <w:rPr>
          <w:rFonts w:ascii="Times New Roman" w:hAnsi="Times New Roman"/>
          <w:b/>
          <w:color w:val="000000"/>
          <w:sz w:val="20"/>
        </w:rPr>
        <w:t>Business Trends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February 28, 2026, we opened five restaurants and expanded our restaurant base to 84 restaurants in 22 states and Washington, DC. Subsequent to February 28, 2026, we opened four additional restaurants totaling 88 restaurants. We expect to open a total of 16 new restaurants in fiscal year 2026 and therefore, we expect our revenue and restaurant operating costs to increase in fiscal year 2026. We also expect our general and administrative expenses to increase on a dollar basis in fiscal 2026 to support the growth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evaluated and will continue to evaluate the impact of import laws and tariffs on our operations. During the six months ended February 28, 2026, tariffs continued to have a considerable impact on our business, financial condition, results of operations and cash flows. Based on the current economic environment, tariffs are expected to continue to have a considerable impact on our operations in certain areas, such as food and beverage costs, construction and equipment costs and other restaurant operating costs throughout fiscal year 2026. The reduction in tariffs on our food and beverage costs are offset by an increase in commodity inflation and therefore, based on the current economic environment, we expect our food and beverage costs as a percentage of sales for the remainder of fiscal year 2026 to remain reasonably consistent with the six months ended February 28, 2026. In addition, ongoing geopolitical events could lead to a disruption of energy supplies, which could impact inflation, disrupt global supply chains and food distribution markets, and adversely impact consumer spending which could adversely affect our business, financial condition or results of operations. We have historically used menu price increases to manage profitability in times of inflation or tariff increases. During our fiscal first quarter 2026, we increased menu prices, which we expect will partially offset the impact on our operations in fiscal year 2026. See our Annual Report on Form 10-K “Part I, Item 1A, “Risk Factors — Risks Related to Our Operations and Growth Strategy”.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Financial Definitions</w:t>
      </w:r>
    </w:p>
    <w:p>
      <w:pPr>
        <w:pStyle w:val="TextBody"/>
        <w:bidi w:val="0"/>
        <w:spacing w:before="120" w:after="283"/>
        <w:jc w:val="left"/>
        <w:rPr>
          <w:rFonts w:ascii="Times New Roman" w:hAnsi="Times New Roman"/>
          <w:sz w:val="20"/>
        </w:rPr>
      </w:pPr>
      <w:r>
        <w:rPr>
          <w:rFonts w:ascii="Times New Roman" w:hAnsi="Times New Roman"/>
          <w:b/>
          <w:i/>
          <w:color w:val="000000"/>
          <w:sz w:val="20"/>
        </w:rPr>
        <w:t>Sales.</w:t>
      </w:r>
      <w:r>
        <w:rPr>
          <w:rFonts w:ascii="Times New Roman" w:hAnsi="Times New Roman"/>
          <w:color w:val="000000"/>
          <w:sz w:val="20"/>
        </w:rPr>
        <w:t xml:space="preserve"> Sales represent sales of food and beverages in restaurants. Restaurant sales in a given period are directly impacted by the number of restaurants we operate and comparable restaurant sales performance.</w:t>
      </w:r>
    </w:p>
    <w:p>
      <w:pPr>
        <w:pStyle w:val="TextBody"/>
        <w:bidi w:val="0"/>
        <w:spacing w:before="240" w:after="283"/>
        <w:jc w:val="left"/>
        <w:rPr>
          <w:rFonts w:ascii="Times New Roman" w:hAnsi="Times New Roman"/>
          <w:sz w:val="20"/>
        </w:rPr>
      </w:pPr>
      <w:r>
        <w:rPr>
          <w:rFonts w:ascii="Times New Roman" w:hAnsi="Times New Roman"/>
          <w:b/>
          <w:i/>
          <w:color w:val="000000"/>
          <w:sz w:val="20"/>
        </w:rPr>
        <w:t>Food and beverage costs.</w:t>
      </w:r>
      <w:r>
        <w:rPr>
          <w:rFonts w:ascii="Times New Roman" w:hAnsi="Times New Roman"/>
          <w:color w:val="000000"/>
          <w:sz w:val="20"/>
        </w:rPr>
        <w:t xml:space="preserve"> Food and beverage costs are variable in nature, change with sales volume and are influenced by menu mix and subject to increases or decreases based on fluctuations in commodity costs. Other important factors causing fluctuations in food and beverage costs include seasonality and restaurant-level management of food waste. Food and beverage costs are a substantial expense and are expected to grow proportionally as our sales grow.</w:t>
      </w:r>
    </w:p>
    <w:p>
      <w:pPr>
        <w:pStyle w:val="TextBody"/>
        <w:bidi w:val="0"/>
        <w:spacing w:before="240" w:after="283"/>
        <w:jc w:val="left"/>
        <w:rPr>
          <w:rFonts w:ascii="Times New Roman" w:hAnsi="Times New Roman"/>
          <w:sz w:val="20"/>
        </w:rPr>
      </w:pPr>
      <w:r>
        <w:rPr>
          <w:rFonts w:ascii="Times New Roman" w:hAnsi="Times New Roman"/>
          <w:b/>
          <w:i/>
          <w:color w:val="000000"/>
          <w:sz w:val="20"/>
        </w:rPr>
        <w:t>Labor and related expenses.</w:t>
      </w:r>
      <w:r>
        <w:rPr>
          <w:rFonts w:ascii="Times New Roman" w:hAnsi="Times New Roman"/>
          <w:color w:val="000000"/>
          <w:sz w:val="20"/>
        </w:rPr>
        <w:t xml:space="preserve"> Labor and related expenses include all restaurant-level management and hourly labor costs, including wages, employee benefits, stock-based compensation for restaurant-level employees and payroll taxes. Similar to the food and beverage costs that we incur, labor and related expenses are expected to grow proportionally as our sales grow. Factors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influence fluctuations in our labor and related expenses include minimum wage and payroll tax legislation, the frequency and severity of workers’ compensation claims, healthcare costs and by the performance of our restaurants.</w:t>
      </w:r>
    </w:p>
    <w:p>
      <w:pPr>
        <w:pStyle w:val="TextBody"/>
        <w:bidi w:val="0"/>
        <w:spacing w:before="240" w:after="283"/>
        <w:jc w:val="left"/>
        <w:rPr>
          <w:rFonts w:ascii="Times New Roman" w:hAnsi="Times New Roman"/>
          <w:sz w:val="20"/>
        </w:rPr>
      </w:pPr>
      <w:r>
        <w:rPr>
          <w:rFonts w:ascii="Times New Roman" w:hAnsi="Times New Roman"/>
          <w:b/>
          <w:i/>
          <w:color w:val="000000"/>
          <w:sz w:val="20"/>
        </w:rPr>
        <w:t>Occupancy and related expenses.</w:t>
      </w:r>
      <w:r>
        <w:rPr>
          <w:rFonts w:ascii="Times New Roman" w:hAnsi="Times New Roman"/>
          <w:color w:val="000000"/>
          <w:sz w:val="20"/>
        </w:rPr>
        <w:t xml:space="preserve"> Occupancy and related expenses include rent for all restaurant locations and related taxes.</w:t>
      </w:r>
    </w:p>
    <w:p>
      <w:pPr>
        <w:pStyle w:val="TextBody"/>
        <w:bidi w:val="0"/>
        <w:spacing w:before="240" w:after="283"/>
        <w:jc w:val="left"/>
        <w:rPr>
          <w:rFonts w:ascii="Times New Roman" w:hAnsi="Times New Roman"/>
          <w:sz w:val="20"/>
        </w:rPr>
      </w:pPr>
      <w:r>
        <w:rPr>
          <w:rFonts w:ascii="Times New Roman" w:hAnsi="Times New Roman"/>
          <w:b/>
          <w:i/>
          <w:color w:val="000000"/>
          <w:sz w:val="20"/>
        </w:rPr>
        <w:t>Depreciation and amortization expenses.</w:t>
      </w:r>
      <w:r>
        <w:rPr>
          <w:rFonts w:ascii="Times New Roman" w:hAnsi="Times New Roman"/>
          <w:color w:val="000000"/>
          <w:sz w:val="20"/>
        </w:rPr>
        <w:t xml:space="preserve"> Depreciation and amortization expenses are periodic non-cash charges that consist of depreciation of fixed assets, including equipment and capitalized leasehold improvements. Depreciation is determined using the straight-line method over the assets’ estimated useful lives, which range from three to 20 years.</w:t>
      </w:r>
    </w:p>
    <w:p>
      <w:pPr>
        <w:pStyle w:val="TextBody"/>
        <w:bidi w:val="0"/>
        <w:spacing w:before="240" w:after="283"/>
        <w:jc w:val="left"/>
        <w:rPr>
          <w:rFonts w:ascii="Times New Roman" w:hAnsi="Times New Roman"/>
          <w:sz w:val="20"/>
        </w:rPr>
      </w:pPr>
      <w:r>
        <w:rPr>
          <w:rFonts w:ascii="Times New Roman" w:hAnsi="Times New Roman"/>
          <w:b/>
          <w:i/>
          <w:color w:val="000000"/>
          <w:sz w:val="20"/>
        </w:rPr>
        <w:t>Other costs.</w:t>
      </w:r>
      <w:r>
        <w:rPr>
          <w:rFonts w:ascii="Times New Roman" w:hAnsi="Times New Roman"/>
          <w:color w:val="000000"/>
          <w:sz w:val="20"/>
        </w:rPr>
        <w:t xml:space="preserve"> Other costs include credit card processing fees, repairs and maintenance, restaurant-level advertising and promotions, restaurant supplies, royalty payments to Kura Japan, utilities and other restaurant-level expenses.</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General and administrative expenses include expenses associated with corporate and regional supervision functions that support the operations of existing restaurants and development of new restaurants, including compensation and benefits, travel expenses, stock-based compensation for corporate-level employees, legal and professional fees, information systems, corporate office rent and other related corporate costs. General and administrative expenses are expected to grow as our unit base grows.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Interest expense includes cash and non-cash charges related to our line of credit and finance lease obligations.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Interest income. </w:t>
      </w:r>
      <w:r>
        <w:rPr>
          <w:rFonts w:ascii="Times New Roman" w:hAnsi="Times New Roman"/>
          <w:color w:val="000000"/>
          <w:sz w:val="20"/>
        </w:rPr>
        <w:t>Interest income includes income earned on our money market funds and investments.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 expense (benefit).</w:t>
      </w:r>
      <w:r>
        <w:rPr>
          <w:rFonts w:ascii="Times New Roman" w:hAnsi="Times New Roman"/>
          <w:color w:val="000000"/>
          <w:sz w:val="20"/>
        </w:rPr>
        <w:t xml:space="preserve"> Provision for income taxes represents federal, state and local current and deferred income tax expense (benefit).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selected comparative results of operations for the three and six months ended February 28, 2026 and February 28, 2025. Our financial results for these periods are not necessarily indicative of the financial results that we will achieve in future periods. Certain totals for the tables below may not recalculate or sum up to 100% due to rounding. </w:t>
      </w:r>
    </w:p>
    <w:p>
      <w:pPr>
        <w:pStyle w:val="TextBody"/>
        <w:bidi w:val="0"/>
        <w:jc w:val="left"/>
        <w:rPr/>
      </w:pPr>
      <w:r>
        <w:rPr/>
        <w:t> </w:t>
      </w:r>
    </w:p>
    <w:tbl>
      <w:tblPr>
        <w:tblW w:w="9291" w:type="dxa"/>
        <w:jc w:val="left"/>
        <w:tblInd w:w="0" w:type="dxa"/>
        <w:tblLayout w:type="fixed"/>
        <w:tblCellMar>
          <w:top w:w="28" w:type="dxa"/>
          <w:left w:w="28" w:type="dxa"/>
          <w:bottom w:w="28" w:type="dxa"/>
          <w:right w:w="28" w:type="dxa"/>
        </w:tblCellMar>
      </w:tblPr>
      <w:tblGrid>
        <w:gridCol w:w="3576"/>
        <w:gridCol w:w="146"/>
        <w:gridCol w:w="211"/>
        <w:gridCol w:w="781"/>
        <w:gridCol w:w="166"/>
        <w:gridCol w:w="146"/>
        <w:gridCol w:w="211"/>
        <w:gridCol w:w="781"/>
        <w:gridCol w:w="166"/>
        <w:gridCol w:w="146"/>
        <w:gridCol w:w="214"/>
        <w:gridCol w:w="687"/>
        <w:gridCol w:w="166"/>
        <w:gridCol w:w="146"/>
        <w:gridCol w:w="215"/>
        <w:gridCol w:w="776"/>
        <w:gridCol w:w="166"/>
        <w:gridCol w:w="591"/>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February 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 amounts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and beverage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 amounts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and beverage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2"/>
        <w:gridCol w:w="146"/>
        <w:gridCol w:w="206"/>
        <w:gridCol w:w="809"/>
        <w:gridCol w:w="234"/>
        <w:gridCol w:w="383"/>
        <w:gridCol w:w="206"/>
        <w:gridCol w:w="206"/>
        <w:gridCol w:w="809"/>
        <w:gridCol w:w="166"/>
        <w:gridCol w:w="271"/>
        <w:gridCol w:w="146"/>
        <w:gridCol w:w="192"/>
        <w:gridCol w:w="752"/>
        <w:gridCol w:w="218"/>
        <w:gridCol w:w="356"/>
        <w:gridCol w:w="192"/>
        <w:gridCol w:w="192"/>
        <w:gridCol w:w="752"/>
        <w:gridCol w:w="166"/>
        <w:gridCol w:w="601"/>
      </w:tblGrid>
      <w:tr>
        <w:trPr/>
        <w:tc>
          <w:tcPr>
            <w:tcW w:w="3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February 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0"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 percentage of sales)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and beverage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Three Months Ended February 28, 2026 Compared to Three Months Ended February 28, 2025</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Sales. </w:t>
      </w:r>
      <w:r>
        <w:rPr>
          <w:rFonts w:ascii="Times New Roman" w:hAnsi="Times New Roman"/>
          <w:color w:val="000000"/>
          <w:sz w:val="20"/>
        </w:rPr>
        <w:t>Sales were $80.0 million for the three months ended February 28, 2026 compared to $64.9 million for the three months ended February 28, 2025, representing an increase of $15.1 million, or 23.3%. The increase in sales was primarily driven by the sales resulting from eleven new restaurants that opened subsequent to February 28, 2025, as well as increases in menu prices during the same period. Comparable restaurant sales increased 8.6%, consisting of traffic of 4.3% and price/mix of 4.3%, for the three months ended February 28, 2026, as compared to the three months ended February 28, 2025. The increase in traffic is primarily due to incremental promotional collaborations as it relates to our Bikkura-Pon prizes and giveaways as compared to the prior year.</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Food and beverage costs. </w:t>
      </w:r>
      <w:r>
        <w:rPr>
          <w:rFonts w:ascii="Times New Roman" w:hAnsi="Times New Roman"/>
          <w:color w:val="000000"/>
          <w:sz w:val="20"/>
        </w:rPr>
        <w:t>Food and beverage costs were $24.3 million for the three months ended February 28, 2026 compared to $18.6 million for the three months ended February 28, 2025, representing an increase of $5.7 million, or 30.5%. The increase in food and beverage costs was primarily driven by costs associated with sales from eleven new restaurants that opened subsequent to February 28, 2025. As a percentage of sales, food and beverage costs increased to 30.4% in the three months ended February 28, 2026 as compared to 28.7% in the three months ended February 28, 2025, primarily due to tariffs on imported ingredients, which was partially offset by increases in menu prices.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Labor and related costs. </w:t>
      </w:r>
      <w:r>
        <w:rPr>
          <w:rFonts w:ascii="Times New Roman" w:hAnsi="Times New Roman"/>
          <w:color w:val="000000"/>
          <w:sz w:val="20"/>
        </w:rPr>
        <w:t xml:space="preserve">Labor and related costs were $24.6 million for the three months ended February 28, 2026 compared to $22.6 million for the three months ended February 28, 2025, representing an increase of $2.0 million, or 8.8%. This increase in labor and related costs was primarily driven by additional labor costs incurred from eleven new restaurants that opened subsequent to February 28, 2025. As a percentage of sales, labor and related costs decreased to 30.7% in the three months ended February 28, 2026 as compared to 34.8% in the three months ended February 28, 2025, primarily due to initiatives relating to operations, such as the reservation system and scheduling, increases in menu prices and improved sales leverage, partially offset by low-single digit wage inflation. </w:t>
      </w:r>
    </w:p>
    <w:p>
      <w:pPr>
        <w:pStyle w:val="TextBody"/>
        <w:bidi w:val="0"/>
        <w:spacing w:before="240" w:after="283"/>
        <w:jc w:val="left"/>
        <w:rPr>
          <w:rFonts w:ascii="Times New Roman" w:hAnsi="Times New Roman"/>
          <w:sz w:val="20"/>
        </w:rPr>
      </w:pPr>
      <w:r>
        <w:rPr>
          <w:rFonts w:ascii="Times New Roman" w:hAnsi="Times New Roman"/>
          <w:i/>
          <w:color w:val="000000"/>
          <w:sz w:val="20"/>
        </w:rPr>
        <w:t>Occupancy and related expenses.</w:t>
      </w:r>
      <w:r>
        <w:rPr>
          <w:rFonts w:ascii="Times New Roman" w:hAnsi="Times New Roman"/>
          <w:color w:val="000000"/>
          <w:sz w:val="20"/>
        </w:rPr>
        <w:t xml:space="preserve"> Occupancy and related expenses were $6.5 million for the three months ended February 28, 2026 compared to $5.1 million for the three months ended February 28, 2025, representing an increase of $1.4 million, or 27.8%. The increase was primarily a result of additional lease expense related to the opening of eleven new restaurants that opened subsequent to February 28, 2025. As a percentage of sales, occupancy and related expenses increased to 8.1% in the three months ended February 28, 2026 as compared to 7.9% in the three months ended February 28, 2025, primarily driven by incremental pre-opening lease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Depreciation and amortization expenses.</w:t>
      </w:r>
      <w:r>
        <w:rPr>
          <w:rFonts w:ascii="Times New Roman" w:hAnsi="Times New Roman"/>
          <w:color w:val="000000"/>
          <w:sz w:val="20"/>
        </w:rPr>
        <w:t xml:space="preserve"> Depreciation and amortization expenses incurred as part of restaurant operating costs were $4.1 million for the three months ended February 28, 2026 compared to $3.3 million for the three months ended February 28, 2025, representing an increase of $0.8 million, or 26.0%. The increase consists of depreciation of property and equipment related to the eleven new restaurants that opened subsequent to February 28, 2025. As a percentage of sales, depreciation and amortization expenses at the restaurant level remained relatively consistent at 5.2% for the three months ended February 28, 2026 and 5.1% in the three months ended February 28, 2025. Depreciation and amortization expenses incurred at the corporate level were $0.1 million, or 0.2% as a percentage of sales, for both the three months ended February 28, 2026 and February 28, 2025.</w:t>
      </w:r>
    </w:p>
    <w:p>
      <w:pPr>
        <w:pStyle w:val="TextBody"/>
        <w:bidi w:val="0"/>
        <w:spacing w:before="240" w:after="283"/>
        <w:jc w:val="left"/>
        <w:rPr>
          <w:rFonts w:ascii="Times New Roman" w:hAnsi="Times New Roman"/>
          <w:sz w:val="20"/>
        </w:rPr>
      </w:pPr>
      <w:r>
        <w:rPr>
          <w:rFonts w:ascii="Times New Roman" w:hAnsi="Times New Roman"/>
          <w:i/>
          <w:color w:val="000000"/>
          <w:sz w:val="20"/>
        </w:rPr>
        <w:t>Other costs.</w:t>
      </w:r>
      <w:r>
        <w:rPr>
          <w:rFonts w:ascii="Times New Roman" w:hAnsi="Times New Roman"/>
          <w:color w:val="000000"/>
          <w:sz w:val="20"/>
        </w:rPr>
        <w:t xml:space="preserve"> Other costs were $11.6 million for the three months ended February 28, 2026 compared to $8.8 million for the three months ended February 28, 2025, representing an increase of $2.8 million, or 32.0%. The increase was primarily driven by an increase in costs related to the eleven new restaurants that opened subsequent to February 28, 2025. As a percentage of sales, other costs increased to 14.5% in the three months ended February 28, 2026 as compared to 13.5% in the three months ended February 28, 2025, primarily driven by higher marketing expenses due to incremental promotional collaborations, as well as utilities.</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expenses were $11.0 million for both the three months ended February 28, 2026 and February 28, 2025. This change was primarily due to the increase in compensation-related costs of $0.7 million and $0.2 million of other net expenses, partially offset by a net decrease in litigation costs of $0.9 million. As a percentage of sales, general and administrative expenses decreased to 13.7% in the three months ended February 28, 2026 as compared to 16.9% in the three months ended February 28, 2025, primarily due to sales leverage of compensation-related and litigation costs.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 was $15 thousand for the three months ended February 28, 2026 compared to $13 thousand for the three months ended February 28, 2025.</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Interest income was $582 thousand for the three months ended February 28, 2026 compared to $859 thousand for the three months ended February 28, 2025. The decrease was primarily driven by lower interest rates and withdraws for cash operating needs.</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Income tax expense was $51 thousand for the three months ended February 28, 2026 compared to an income tax expense of $38 thousand for the three months ended February 28, 2025. For further discussion of our income taxes, see “Note 9. Income Taxes” in the Notes to Condensed Financial Statements.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Six Months Ended February 28, 2026 Compared to Six Months Ended February 28, 2025</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Sales. </w:t>
      </w:r>
      <w:r>
        <w:rPr>
          <w:rFonts w:ascii="Times New Roman" w:hAnsi="Times New Roman"/>
          <w:color w:val="000000"/>
          <w:sz w:val="20"/>
        </w:rPr>
        <w:t xml:space="preserve">Sales were $153.5 million for the six months ended February 28, 2026 compared to $129.4 million for the six months ended February 28, 2025, representing an increase of $24.1 million, or 18.6%. The increase in sales was primarily driven by the sales resulting from eleven new restaurants that opened subsequent to February 28, 2025, as well as increases in menu prices during the same period. Comparable restaurant sales increased 3.0%, consisting of traffic of 0.9% and a price/mix of 2.1% for the six months ended February 28, 2026, as compared to the six months ended February 28, 2025.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Food and beverage costs. </w:t>
      </w:r>
      <w:r>
        <w:rPr>
          <w:rFonts w:ascii="Times New Roman" w:hAnsi="Times New Roman"/>
          <w:color w:val="000000"/>
          <w:sz w:val="20"/>
        </w:rPr>
        <w:t>Food and beverage costs were $46.3 million for the six months ended February 28, 2026 compared to $37.3 million for the six months ended February 28, 2025, representing an increase of $9.0 million, or 24.0%. The increase in food and beverage costs was primarily driven by costs associated with sales from eleven new restaurants that opened subsequent to February 28, 2025. As a percentage of sales, food and beverage costs increased to 30.1% in the six months ended February 28, 2026 as compared to 28.8% in the six months ended February 28, 2025, primarily due to tariffs on imported ingredients, which was partially offset by increases in menu prices.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Labor and related costs. </w:t>
      </w:r>
      <w:r>
        <w:rPr>
          <w:rFonts w:ascii="Times New Roman" w:hAnsi="Times New Roman"/>
          <w:color w:val="000000"/>
          <w:sz w:val="20"/>
        </w:rPr>
        <w:t>Labor and related costs were $48.5 million for the six months ended February 28, 2026 compared to $43.8 million for the six months ended February 28, 2025, representing an increase of $4.7 million, or 10.6%. This increase in labor and related costs was primarily driven by additional labor costs incurred from eleven new restaurants that opened subsequent to February 28, 2025. As a percentage of sales, labor and related costs decreased to 31.6% in the six months ended February 28, 2026 as compared to 33.9% in the six months ended February 28, 2025. The decrease in cost as a percentage of sales was primarily due to initiatives relating to operations such as the reservation system and scheduling, increases in menu prices and improved sales leverage, partially offset by low-single digit wage inflation.</w:t>
      </w:r>
    </w:p>
    <w:p>
      <w:pPr>
        <w:pStyle w:val="TextBody"/>
        <w:bidi w:val="0"/>
        <w:spacing w:before="240" w:after="283"/>
        <w:jc w:val="left"/>
        <w:rPr>
          <w:rFonts w:ascii="Times New Roman" w:hAnsi="Times New Roman"/>
          <w:sz w:val="20"/>
        </w:rPr>
      </w:pPr>
      <w:r>
        <w:rPr>
          <w:rFonts w:ascii="Times New Roman" w:hAnsi="Times New Roman"/>
          <w:i/>
          <w:color w:val="000000"/>
          <w:sz w:val="20"/>
        </w:rPr>
        <w:t>Occupancy and related expenses.</w:t>
      </w:r>
      <w:r>
        <w:rPr>
          <w:rFonts w:ascii="Times New Roman" w:hAnsi="Times New Roman"/>
          <w:color w:val="000000"/>
          <w:sz w:val="20"/>
        </w:rPr>
        <w:t xml:space="preserve"> Occupancy and related expenses were $12.4 million for the six months ended February 28, 2026 compared to $9.9 million for the six months ended February 28, 2025, representing an increase of $2.5 million, or 25.4%. The increase was primarily a result of additional lease expense related to the opening of eleven new restaurants that opened subsequent to February 28, 2025. As a percentage of sales, occupancy and related expenses increased to 8.1% in the six months ended February 28, 2026, compared to 7.6% in the six months ended February 28, 2025, primarily driven by incremental pre-opening lease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Depreciation and amortization expenses.</w:t>
      </w:r>
      <w:r>
        <w:rPr>
          <w:rFonts w:ascii="Times New Roman" w:hAnsi="Times New Roman"/>
          <w:color w:val="000000"/>
          <w:sz w:val="20"/>
        </w:rPr>
        <w:t xml:space="preserve"> Depreciation and amortization expenses incurred as part of restaurant operating costs were $8.1 million for the six months ended February 28, 2026 compared to $6.4 million for the six months ended February 28, 2025, representing an increase of $1.7 million, or 27.4%. The increase consists of depreciation of property and equipment related to eleven new restaurants that opened subsequent to February 28, 2025. As a percentage of sales, depreciation and amortization expenses at the restaurant level were 5.3% for the six months ended February 28, 2026 as compared to 4.9% for the six months ended February 28, 2025, primarily due to depreciation associated with restaurant remodel costs. Depreciation and amortization expenses incurred at the corporate level was $0.3 million for the six months ended February 28, 2026 compared to $0.2 million, and as a percentage of sales were both 0.2%.</w:t>
      </w:r>
    </w:p>
    <w:p>
      <w:pPr>
        <w:pStyle w:val="TextBody"/>
        <w:bidi w:val="0"/>
        <w:spacing w:before="240" w:after="283"/>
        <w:jc w:val="left"/>
        <w:rPr>
          <w:rFonts w:ascii="Times New Roman" w:hAnsi="Times New Roman"/>
          <w:sz w:val="20"/>
        </w:rPr>
      </w:pPr>
      <w:r>
        <w:rPr>
          <w:rFonts w:ascii="Times New Roman" w:hAnsi="Times New Roman"/>
          <w:i/>
          <w:color w:val="000000"/>
          <w:sz w:val="20"/>
        </w:rPr>
        <w:t>Other costs.</w:t>
      </w:r>
      <w:r>
        <w:rPr>
          <w:rFonts w:ascii="Times New Roman" w:hAnsi="Times New Roman"/>
          <w:color w:val="000000"/>
          <w:sz w:val="20"/>
        </w:rPr>
        <w:t xml:space="preserve"> Other costs were $23.4 million for the six months ended February 28, 2026 compared to $18.1 million for the six months ended February 28, 2025, representing an increase of $5.3 million, or 29.1%. The increase was primarily driven by an increase in costs related to eleven new restaurants that opened subsequent to February 28, 2025. As a percentage of sales, other costs were 15.2% for the six months ended February 28, 2026 as compared to 14.0% for the six months ended February 28, 2025, primarily driven by higher marketing expense due to incremental promotional collaborations, as well as utilities expense.</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expenses were $20.5 million for the six months ended February 28, 2026 compared to $19.7 million for the six months ended February 28, 2025, representing an increase of $0.8 million, or 4.1%. This change was primarily due to the increase in compensation-related costs of $0.7 million, professional fees of $0.2 million, travel expenses of $0.2 million and $0.4 million of other net expenses, partially offset by a net decrease in litigation costs of $0.7 million. As a percentage of sales, general and administrative expenses decreased to 13.4% in the six months ended February 28, 2026 from 15.2% in the six months ended February 28, 2025, primarily driven by sales leverage of compensation-related costs and litigation costs.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 was $33 thousand for the six months ended February 28, 2026 compared to $26 thousand for the six months ended February 28, 2025.</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Interest income was $1.3 million for the six months ended February 28, 2026 compared to $1.4 million for the six months ended February 28, 2025. The decrease was primarily driven by lower interest rates and withdraws for cash operating needs.</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Income tax expense was $87 thousand for the six months ended February 28, 2026 compared to $77 thousand for the six months ended February 28, 2025. For further discussion of our income taxes, see “Note 9. Income Taxes” in the Notes to 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Performance Indicators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the performance of our business, we consider a variety of financial and performance measures. The key measures for determining how our business is performing include sales, EBITDA, Adjusted EBITDA, Restaurant-level Operating Profit, Restaurant-level Operating Profit margin, comparable restaurant sales performance, and the number of restaurant openings.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represents sales of food and beverages in restaurants, as shown on our condensed statements of operations and comprehensive income (loss). Several factors affect our restaurant sales in any given period, including the number of restaurants in operation, guest traffic and average check.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EBITDA and 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EBITDA is defined as net income (loss) before interest, income taxes and depreciation and amortization. Adjusted EBITDA is defined as EBITDA plus stock-based compensation expense, non-cash lease expense and asset disposals, closure costs and restaurant impairments, as well as certain items, such as litigation that we believe are not indicative of our core operating results. Adjusted EBITDA margin is defined as Adjusted EBITDA divided by sales. EBITDA, Adjusted EBITDA and Adjusted EBITDA margin are non-GAAP measures which are intended as supplemental measures of our performance and are neither required by, nor presented in accordance with, GAAP. We believe that EBITDA, Adjusted EBITDA and Adjusted EBITDA margin provide useful information to management and investors regarding certain financial and business trends relating to our financial condition and operating results. However, these measures may not provide a complete understanding of the operating results of the Company as a whole and such measures should be reviewed in conjunction with our GAAP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the use of EBITDA, Adjusted EBITDA and Adjusted EBITDA margin provides an additional tool for investors to use in evaluating ongoing operating results and trends and in comparing our financial measures with those of comparable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companies, which may present similar non-GAAP financial measures to investors. However, you should be aware when evaluating EBITDA, Adjusted EBITDA and Adjusted EBITDA margin that in the future we may incur expenses similar to those excluded when calculating these measures. In addition, our presentation of these measures should not be construed as an inference that our future results will be unaffected by unusual or non-recurring items. Our computation of Adjusted EBITDA and Adjusted EBITDA margin may not be comparable to other similarly titled measures computed by other companies, because all companies may not calculate Adjusted EBITDA and Adjusted EBITDA margin in the same fashion.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these limitations, EBITDA, Adjusted EBITDA and Adjusted EBITDA margin should not be considered in isolation or as a substitute for performance measures calculated in accordance with GAAP. We compensate for these limitations by relying primarily on our GAAP results and using EBITDA, Adjusted EBITDA and Adjusted EBITDA margin on a supplemental basis. You should review the reconciliation of net income (loss) to EBITDA, Adjusted EBITDA and Adjusted EBITDA margin below and not rely on any single financial measure to evaluate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net loss to EBITDA and Adjusted EBITDA: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4"/>
        <w:gridCol w:w="146"/>
        <w:gridCol w:w="299"/>
        <w:gridCol w:w="897"/>
        <w:gridCol w:w="384"/>
        <w:gridCol w:w="207"/>
        <w:gridCol w:w="299"/>
        <w:gridCol w:w="897"/>
        <w:gridCol w:w="271"/>
        <w:gridCol w:w="146"/>
        <w:gridCol w:w="277"/>
        <w:gridCol w:w="829"/>
        <w:gridCol w:w="356"/>
        <w:gridCol w:w="190"/>
        <w:gridCol w:w="277"/>
        <w:gridCol w:w="829"/>
        <w:gridCol w:w="417"/>
      </w:tblGrid>
      <w:tr>
        <w:trPr/>
        <w:tc>
          <w:tcPr>
            <w:tcW w:w="3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February 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5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Non-cash lease expense</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Stock-based compensation expense includes non-cash stock-based compensation, which is comprised of restaurant-level stock-based compensation included in labor and related costs and of corporate-level stock-based compensation included in general and administrative expenses in the condensed statements of operations and comprehensive loss. For further details of stock-based compensation, see “Note 5. Stock-based Compensation” in the notes to condensed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lease expense includes lease expense from the date of possession of our restaurants that did not require cash outlay in the respective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includes expenses related to legal claims or settlements.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Restaurant-level Operating Profit and Restaurant-level Operating Profit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Restaurant-level Operating Profit (Loss) is defined as operating income (loss) plus depreciation and amortization; stock-based compensation expense; pre-opening costs and general and administrative expenses which are considered normal, recurring, cash operating expenses and are essential to support the development and operations of our restaurants; non-cash lease expense; asset disposals, closure costs and restaurant impairments; less corporate-level stock-based compensation expense recognized within general and administrative expenses. Restaurant-level Operating Profit (Loss) margin is defined as Restaurant-level Operating Profit (Loss) divided by sales. Restaurant-level Operating Profit (Loss) and Restaurant-level Operating Profit (Loss) margin are non-GAAP measures which are intended as supplemental measures of our performance and are neither required by, nor presented in accordance with, GAAP. We believe that Restaurant-level Operating Profit (Loss) and Restaurant-level Operating Profit (Loss) margin provide useful information to management and investors regarding certain financial and business trends relating to our financial condition and operating results, as this measure depicts normal, recurring cash operating expenses essential to supporting the development and operations of our restaurants. However, these measures may not provide a complete understanding of the operating results of the Company as a whole and such measures should be reviewed in conjunction with our GAAP financial results. We expect Restaurant-level Operating Profit (Loss) to increase in proportion to the number of new restaurants we open and our comparable restaurant sales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present Restaurant-level Operating Profit (Loss) because it excludes the impact of general and administrative expenses, which are not incurred at the restaurant level. We also use Restaurant-level Operating Profit (Loss) to measure operating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returns from opening new restaurants. Restaurant-level Operating Profit (Loss) margin allows us to evaluate the level of Restaurant-level Operating Profit (Loss) generated from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you should be aware that Restaurant-level Operating Profit (Loss) and Restaurant-level Operating Profit (Loss) margin are financial measures that are not indicative of overall results for the Company, and Restaurant-level Operating Profit (Loss) and Restaurant-level Operating Profit (Loss) margin do not accrue directly to the benefit of stockholders because of corporate-level expenses excluded from such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when evaluating Restaurant-level Operating Profit (Loss) and Restaurant-level Operating Profit (Loss) margin, you should be aware that in the future we may incur expenses similar to those excluded when calculating these measures. Our presentation of these measures should not be construed as an inference that our future results will not be affected by unusual or non-recurring items. Our computation of Restaurant-level Operating Profit (Loss) and Restaurant-level Operating Profit (Loss) margin may not be comparable to other similarly titled measures computed by other companies, because all companies may not calculate Restaurant-level Operating Profit (Loss) and Restaurant-level Operating Profit (Loss) margin in the same fashion. Restaurant-level Operating Profit (Loss) and Restaurant-level Operating Profit (Loss) margin have limitations as analytical tools, and you should not consider them in isolation or as substitutes for analysis of our results as reported under GAAP.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operating loss to Restaurant-level Operating Profit and Restaurant-level Operating Profit margin: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1"/>
        <w:gridCol w:w="146"/>
        <w:gridCol w:w="245"/>
        <w:gridCol w:w="786"/>
        <w:gridCol w:w="353"/>
        <w:gridCol w:w="169"/>
        <w:gridCol w:w="245"/>
        <w:gridCol w:w="786"/>
        <w:gridCol w:w="299"/>
        <w:gridCol w:w="146"/>
        <w:gridCol w:w="234"/>
        <w:gridCol w:w="752"/>
        <w:gridCol w:w="336"/>
        <w:gridCol w:w="162"/>
        <w:gridCol w:w="234"/>
        <w:gridCol w:w="752"/>
        <w:gridCol w:w="419"/>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February 28,</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Pre-opening costs</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Non-cash lease expense</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19,718</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Corporate-level stock-based compensation in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Restaurant-level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14,566</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25,654</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22,931</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Restaurant-level operating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Stock-based compensation expense includes non-cash stock-based compensation, which is comprised of restaurant-level stock-based compensation included in labor and related costs and of corporate-level stock-based compensation included in general and administrative expenses in the condensed statements of operations and comprehensive loss. For further details of stock-based compensation, see “Note 5. Stock-based Compensation” in the notes to condensed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Pre-opening costs consist of labor costs and travel expenses for new employees and trainers during the training period, recruitment fees, legal fees, cash-based lease expenses incurred between the date of possession and the opening day of our restaurants, and other related pre-opening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lease expense includes lease expense from the date of possession of our restaurants that did not require cash outlay in the respective periods.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Comparable Restaurant Sales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Comparable restaurant sales performance refers to the percent change in year-over-year sales for the comparable restaurant base. We include restaurants in the comparable restaurant base that have been in operation for at least 18 full calendar months by the end of the accounting period presented due to new restaurants experiencing a period of higher sales upon opening. For restaurants that were temporarily closed the comparative period was also adjusted accordingly.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Measuring our comparable restaurant sales performance allows us to evaluate the performance of our existing restaurant base. Various factors impact comparable restaurant sales,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 recognition of our brand and our ability to respond to changing consumer preferences and spending behavior;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economic trends, particularly those related to consumer spending;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operate restaurants effectively and efficiently to meet consumer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guest traffic;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per-guest spend and average check;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promotional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local competition;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opening of new restaurants in the vicinity of existing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opening new restaurants will be a significant component of our sales growth, comparable restaurant sales performance is only one measure of how we evaluate our performance. The following table shows the comparable restaurant sales performance:</w:t>
      </w:r>
    </w:p>
    <w:p>
      <w:pPr>
        <w:pStyle w:val="TextBody"/>
        <w:bidi w:val="0"/>
        <w:jc w:val="left"/>
        <w:rPr/>
      </w:pPr>
      <w:r>
        <w:rPr/>
        <w:t> </w:t>
      </w:r>
    </w:p>
    <w:tbl>
      <w:tblPr>
        <w:tblW w:w="9921" w:type="dxa"/>
        <w:jc w:val="left"/>
        <w:tblInd w:w="0" w:type="dxa"/>
        <w:tblLayout w:type="fixed"/>
        <w:tblCellMar>
          <w:top w:w="28" w:type="dxa"/>
          <w:left w:w="28" w:type="dxa"/>
          <w:bottom w:w="28" w:type="dxa"/>
          <w:right w:w="28" w:type="dxa"/>
        </w:tblCellMar>
      </w:tblPr>
      <w:tblGrid>
        <w:gridCol w:w="3766"/>
        <w:gridCol w:w="146"/>
        <w:gridCol w:w="1209"/>
        <w:gridCol w:w="335"/>
        <w:gridCol w:w="1485"/>
        <w:gridCol w:w="146"/>
        <w:gridCol w:w="1094"/>
        <w:gridCol w:w="303"/>
        <w:gridCol w:w="1437"/>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February 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restaurant sales performance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restaurant 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Number of Restaurant Openings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restaurant openings reflects the number of restaurants opened during a particular reporting period. Before we open new restaurants, we incur pre-opening costs. New restaurants may not be profitable, and their sales performance may not follow historical patterns. The number and timing of restaurant openings have had, and is expected to continue to have, an impact on our results of operations. The following table shows the growth in our restaurant base:</w:t>
      </w:r>
    </w:p>
    <w:p>
      <w:pPr>
        <w:pStyle w:val="TextBody"/>
        <w:bidi w:val="0"/>
        <w:jc w:val="left"/>
        <w:rPr/>
      </w:pPr>
      <w:r>
        <w:rPr/>
        <w:t> </w:t>
      </w:r>
    </w:p>
    <w:tbl>
      <w:tblPr>
        <w:tblW w:w="8416" w:type="dxa"/>
        <w:jc w:val="left"/>
        <w:tblInd w:w="0" w:type="dxa"/>
        <w:tblLayout w:type="fixed"/>
        <w:tblCellMar>
          <w:top w:w="28" w:type="dxa"/>
          <w:left w:w="28" w:type="dxa"/>
          <w:bottom w:w="28" w:type="dxa"/>
          <w:right w:w="28" w:type="dxa"/>
        </w:tblCellMar>
      </w:tblPr>
      <w:tblGrid>
        <w:gridCol w:w="1871"/>
        <w:gridCol w:w="146"/>
        <w:gridCol w:w="363"/>
        <w:gridCol w:w="787"/>
        <w:gridCol w:w="363"/>
        <w:gridCol w:w="363"/>
        <w:gridCol w:w="363"/>
        <w:gridCol w:w="787"/>
        <w:gridCol w:w="146"/>
        <w:gridCol w:w="146"/>
        <w:gridCol w:w="335"/>
        <w:gridCol w:w="725"/>
        <w:gridCol w:w="335"/>
        <w:gridCol w:w="335"/>
        <w:gridCol w:w="335"/>
        <w:gridCol w:w="725"/>
        <w:gridCol w:w="291"/>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February 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6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sources of liquidity and cash flows are cash and cash equivalents on hand and cash provided by operating activities. Our primary uses of cash are for operational expenditures and capital investments, including new restaurants, costs incurred for restaurant remodels and restaurant fixtures. The significant components of our working capital are liquid assets such as cash, cash equivalents and receivables reduced by accounts payable and accrued expenses. Our working capital position benefits from the fact that we generally collect cash from sales to guests the same day or, in the case of credit or debit card transactions, within several days of the related sale, while we typically have longer payment terms with our vendors.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29, 2025, we filed a universal shelf registration statement on Form S-3 (the “Registration Statement”) with the SEC in accordance with the Securities Act of 1933, as amended (the “Securities Act”). The Registration Statement was declared effective on January 7, 2026, and registered Class A common stock, preferred stock, depositary shares, warrants, subscription rights, share purchase contracts, share purchase units, and any combination of the foregoing, for a maximum aggregate offering price of up to $100.0 million, which may be sold from time to time. The terms of any securities offered under the Registration Statement and </w:t>
      </w:r>
    </w:p>
    <w:p>
      <w:pPr>
        <w:pStyle w:val="TextBody"/>
        <w:bidi w:val="0"/>
        <w:jc w:val="left"/>
        <w:rPr>
          <w:rFonts w:ascii="Times New Roman" w:hAnsi="Times New Roman"/>
          <w:color w:val="000000"/>
          <w:sz w:val="20"/>
        </w:rPr>
      </w:pPr>
      <w:r>
        <w:rPr>
          <w:rFonts w:ascii="Times New Roman" w:hAnsi="Times New Roman"/>
          <w:color w:val="000000"/>
          <w:sz w:val="20"/>
        </w:rPr>
        <w:t>intended use of proceeds will be established at the times of the offerings and will be described in prospectus supplements filed with the SEC at the times of the offerings. The Registration Statement has a three-year term from the date of effectiveness.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cash provided by operating activities, cash on hand, cash equivalents and short-term investments will be sufficient to fund our lease obligations, capital expenditures and working capital needs for at least the next 12 months. We also maintain a Revolving Credit Agreement with Kura Japan, of which the maturity date has been extended to April 10, 2028 pursuant to the Third Amendment with Kura Japan.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six months ended February 28, 2026, we had no borrowings under the Revolving Credit Agreement and have $45.0 million of availability remaining. As of February 28, 2026, we did not have any material off-balance sheet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Summary of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cash flows for the periods presented:</w:t>
      </w:r>
    </w:p>
    <w:p>
      <w:pPr>
        <w:pStyle w:val="TextBody"/>
        <w:bidi w:val="0"/>
        <w:jc w:val="left"/>
        <w:rPr/>
      </w:pPr>
      <w:r>
        <w:rPr/>
        <w:t> </w:t>
      </w:r>
    </w:p>
    <w:tbl>
      <w:tblPr>
        <w:tblW w:w="6611" w:type="dxa"/>
        <w:jc w:val="left"/>
        <w:tblInd w:w="0" w:type="dxa"/>
        <w:tblLayout w:type="fixed"/>
        <w:tblCellMar>
          <w:top w:w="28" w:type="dxa"/>
          <w:left w:w="28" w:type="dxa"/>
          <w:bottom w:w="28" w:type="dxa"/>
          <w:right w:w="28" w:type="dxa"/>
        </w:tblCellMar>
      </w:tblPr>
      <w:tblGrid>
        <w:gridCol w:w="3466"/>
        <w:gridCol w:w="146"/>
        <w:gridCol w:w="266"/>
        <w:gridCol w:w="931"/>
        <w:gridCol w:w="210"/>
        <w:gridCol w:w="184"/>
        <w:gridCol w:w="266"/>
        <w:gridCol w:w="93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February 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Statement of Cash Flow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Flows Provided by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during the six months ended February 28, 2026 was $8.1 million, primarily due to a net loss of $4.8 million, non-cash charges of $8.4 million for depreciation and amortization, $2.3 million for stock-based compensation, and net cash outflows of $2.1 million from changes in operating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during the six months ended February 28, 2025 was $8.6 million, primarily due to a net loss of $4.7 million, non-cash charges of $6.6 million for depreciation and amortization, $2.2 million for stock-based compensation, and net cash outflows of $4.4 million from changes in operating assets and liabilities.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during the six months ended February 28, 2026 was $29.1 million, primarily due to $33.7 million in purchases of investments and $29.3 million in purchases of property and equipment and $1.0 million in purchases of liquor licenses offset by $35.0 million in maturities and redemptions of investments. The increase in purchases of property and equipment in the six months ended February 28, 2026 is primarily related to capital expenditures for the construction of future restaurant openings, maintaining our existing restaurants, renovations and other projects.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during the six months ended February 28, 2025 was $39.4 million, primarily due to $25.3 million in purchases of long-term investments, $23.1 million in purchases of property and equipment and $0.9 million in purchases of liquor licenses offset by $10.0 million of redemptions of long-term investments. The increase in purchases of property and equipment in the six months ended February 28, 2025 is primarily related to capital expenditures for future restaurant openings, maintaining our existing restaurants and other projects.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Provided by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during the six months ended February 28, 2026 was $73 thousand and is primarily due to $474 thousand of proceeds from exercise of stock options offset by $361 thousand in taxes paid on vested RSUs and $40 thousand in repayment of principal on finance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during the six months ended February 28, 2025 was $65.0 million and is primarily due to aggregate net proceeds from the issuance of stock of $64.4 million after deducting the underwriting discounts and commissions and offering expenses, $0.9 million of proceeds from exercise of stock options offset by $0.3 million in taxes paid on vested RSUs.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February 28, 2026, we had $19.3 million in contractual obligations which consisted of $12.4 million in purchase commitments for food related to restaurant operations and $6.9 million related to the construction of new restaurants. All contractual obligations are expected to be paid during the next 12 months utilizing cash and cash equivalents on hand and provided by operating activities. For operating lease obligations, see “Note 3. Leases” in the Notes to Condensed Financial Statements included in this Quarterly Report on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recently issued or adopted accounting pronouncements, including the respective date of adoption and expected effect on our results of operations and financial condition, see “Note 1. Organization and Basis of Presentation” in the Notes to Condensed Financial Statements included in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discussion and analysis of operating results and financial condition is based on our financial statements. Preparing our financial statements in accordance with GAAP requires us to make estimates and assumptions that affect the reported amounts of assets, liabilities, sales, expenses and related disclosures of contingent assets and liabilities. We base our estimates on past experience and other assumptions that we believe are reasonable under the circumstances, and we evaluate these estimates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critical accounting policies are those that materially affect our financial statements. Our critical accounting estimates are those that involve subjective or complex judgments by management. Although these estimates are based on management’s best knowledge of current events and actions that may impact us in the future, actual results may be materially different from the estimates. We believe the assessment of potential impairments of long-lived assets is affected by significant judgments and estimates used in the preparation of our financial statements and that the judgments and estimates are reasonable.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and estimates from those disclosed in our Annual Report on Form 10</w:t>
        <w:noBreakHyphen/>
        <w:t>K for the fiscal year ended August 31, 2025. Please refer to “Part II, Item 7. Management’s Discussion and Analysis of Financial Condition and Results of Operations - Critical Accounting Policies and Estimates” of our Annual Report on Form 10</w:t>
        <w:noBreakHyphen/>
        <w:t>K for the fiscal year ended August 31, 2025 for a discussion of our critical accounting policies and estimates.</w:t>
      </w:r>
    </w:p>
    <w:p>
      <w:pPr>
        <w:pStyle w:val="TextBody"/>
        <w:bidi w:val="0"/>
        <w:spacing w:before="36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market risk during the six months ended February 28, 2026. For a discussion of our exposure to market risk, refer to our market risk disclosures set forth in Part II, Item 7A, “Quantitative and Qualitative Disclosures About Market Risk” of our Annual Report on Form 10-K for the fiscal year ended August 31, 2025.</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carried out an evaluation, under the supervision and with the participation of our principal executive officer and principal financial officer, of the effectiveness of the design and operation of our disclosure controls and procedures (as defined in Rule 13a-15(e) and 15d-15(e) of the Exchange Act) as of the end of the period covered by this Quarterly Report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this evaluation, our principal executive officer and principal financial officer concluded that our disclosure controls and procedures were effective as of the end of the period covered by this Quarterly Report on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current fiscal quarter, we have implemented a new equity management system. In connection with the new system, we have implemented additional controls. There have been no other changes in our internal control over financial reporting (as defined in Rule 13a-15(f) and 15d-15(f) of the Exchange Act) that occurred during our most recent fiscal quarter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or_information"/>
      <w:bookmarkEnd w:id="13"/>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legal proceedings, see Note 8 – Commitments and Contingencies, in the Notes to Condensed Financial Statements of this Quarterly Report on Form 10-Q, which is incorporated herein by reference.</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the risk factors associated with our business is contained in the “Risk Factors” section of our Annual Report on Form 10-K for our fiscal year ended August 31, 2025. There have been no material changes to our Risk Factors as therein previously reported.</w:t>
      </w:r>
    </w:p>
    <w:p>
      <w:pPr>
        <w:pStyle w:val="TextBody"/>
        <w:bidi w:val="0"/>
        <w:spacing w:before="36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30, 2026, Shahin Allameh, our Chief Operating Officer, adopted a Rule 10b5-1 trading arrangement, as such term is defined in Item 408(a) of Regulation S-K, for the potential exercise and sale of shares of the Company’s common stock underlying 21,658 of Mr. Allameh’s outstanding option awards, from April 30, 2026, at the earliest, until December 31, 2026, at the latest.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99"/>
        <w:gridCol w:w="146"/>
        <w:gridCol w:w="9260"/>
      </w:tblGrid>
      <w:tr>
        <w:trPr/>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0" w:type="dxa"/>
            <w:tcBorders/>
            <w:vAlign w:val="center"/>
          </w:tcPr>
          <w:p>
            <w:pPr>
              <w:pStyle w:val="TableContents"/>
              <w:bidi w:val="0"/>
              <w:spacing w:before="0" w:after="283"/>
              <w:jc w:val="left"/>
              <w:rPr>
                <w:sz w:val="4"/>
                <w:szCs w:val="4"/>
              </w:rPr>
            </w:pPr>
            <w:r>
              <w:rPr>
                <w:sz w:val="4"/>
                <w:szCs w:val="4"/>
              </w:rPr>
            </w:r>
          </w:p>
        </w:tc>
      </w:tr>
      <w:tr>
        <w:trPr/>
        <w:tc>
          <w:tcPr>
            <w:tcW w:w="79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us-ex31_1.htm">
              <w:r>
                <w:rPr>
                  <w:rStyle w:val="InternetLink"/>
                  <w:rFonts w:ascii="Times New Roman" w:hAnsi="Times New Roman"/>
                  <w:color w:val="0000FF"/>
                  <w:sz w:val="20"/>
                  <w:u w:val="single"/>
                </w:rPr>
                <w:t>Certification of Principal Executive Officer Pursuant to Section 302 of the Sarbanes-Oxley Act of 2002.</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us-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us-ex32_1.htm">
              <w:r>
                <w:rPr>
                  <w:rStyle w:val="InternetLink"/>
                  <w:rFonts w:ascii="Times New Roman" w:hAnsi="Times New Roman"/>
                  <w:color w:val="0000FF"/>
                  <w:sz w:val="20"/>
                  <w:u w:val="single"/>
                </w:rPr>
                <w:t>Certification of Principal Executive Officer Pursuant to Section 906 of the Sarbanes-Oxley Act of 2002.</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us-ex32_2.htm">
              <w:r>
                <w:rPr>
                  <w:rStyle w:val="InternetLink"/>
                  <w:rFonts w:ascii="Times New Roman" w:hAnsi="Times New Roman"/>
                  <w:color w:val="0000FF"/>
                  <w:sz w:val="20"/>
                  <w:u w:val="single"/>
                </w:rPr>
                <w:t>Certification of Principal Financial Officer Pursuant to Section 906 of the Sarbanes-Oxley Act of 2002.</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XBRL tags are embedded within the Inline XBRL document)</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681"/>
        <w:gridCol w:w="109"/>
        <w:gridCol w:w="406"/>
        <w:gridCol w:w="2416"/>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KURA SUSHI USA, INC.</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Uttz</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Jeffrey Uttz</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bookmarkStart w:id="22" w:name="krus-ex31_1.htm"/>
      <w:bookmarkStart w:id="23" w:name="kskrus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Hajime Uba,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Kura Sushi USA,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282" w:type="dxa"/>
        <w:jc w:val="left"/>
        <w:tblInd w:w="0" w:type="dxa"/>
        <w:tblLayout w:type="fixed"/>
        <w:tblCellMar>
          <w:top w:w="28" w:type="dxa"/>
          <w:left w:w="28" w:type="dxa"/>
          <w:bottom w:w="28" w:type="dxa"/>
          <w:right w:w="28" w:type="dxa"/>
        </w:tblCellMar>
      </w:tblPr>
      <w:tblGrid>
        <w:gridCol w:w="3086"/>
        <w:gridCol w:w="4196"/>
      </w:tblGrid>
      <w:tr>
        <w:trPr/>
        <w:tc>
          <w:tcPr>
            <w:tcW w:w="3086" w:type="dxa"/>
            <w:tcBorders/>
            <w:vAlign w:val="center"/>
          </w:tcPr>
          <w:p>
            <w:pPr>
              <w:pStyle w:val="TableContents"/>
              <w:bidi w:val="0"/>
              <w:spacing w:before="0" w:after="283"/>
              <w:jc w:val="left"/>
              <w:rPr>
                <w:sz w:val="4"/>
                <w:szCs w:val="4"/>
              </w:rPr>
            </w:pPr>
            <w:r>
              <w:rPr>
                <w:sz w:val="4"/>
                <w:szCs w:val="4"/>
              </w:rPr>
            </w:r>
          </w:p>
        </w:tc>
        <w:tc>
          <w:tcPr>
            <w:tcW w:w="4196" w:type="dxa"/>
            <w:tcBorders/>
            <w:vAlign w:val="center"/>
          </w:tcPr>
          <w:p>
            <w:pPr>
              <w:pStyle w:val="TableContents"/>
              <w:bidi w:val="0"/>
              <w:spacing w:before="0" w:after="283"/>
              <w:jc w:val="left"/>
              <w:rPr>
                <w:sz w:val="4"/>
                <w:szCs w:val="4"/>
              </w:rPr>
            </w:pPr>
            <w:r>
              <w:rPr>
                <w:sz w:val="4"/>
                <w:szCs w:val="4"/>
              </w:rPr>
            </w:r>
          </w:p>
        </w:tc>
      </w:tr>
      <w:tr>
        <w:trPr/>
        <w:tc>
          <w:tcPr>
            <w:tcW w:w="3086" w:type="dxa"/>
            <w:tcBorders/>
            <w:tcMar>
              <w:top w:w="0" w:type="dxa"/>
              <w:left w:w="0" w:type="dxa"/>
              <w:bottom w:w="0" w:type="dxa"/>
              <w:right w:w="0" w:type="dxa"/>
            </w:tcMar>
            <w:vAlign w:val="center"/>
          </w:tcPr>
          <w:p>
            <w:pPr>
              <w:pStyle w:val="TableContents"/>
              <w:bidi w:val="0"/>
              <w:spacing w:before="0" w:after="283"/>
              <w:ind w:left="0" w:right="0" w:firstLine="1300"/>
              <w:jc w:val="left"/>
              <w:rPr>
                <w:rFonts w:ascii="Times New Roman" w:hAnsi="Times New Roman"/>
                <w:color w:val="000000"/>
                <w:sz w:val="20"/>
              </w:rPr>
            </w:pPr>
            <w:r>
              <w:rPr>
                <w:rFonts w:ascii="Times New Roman" w:hAnsi="Times New Roman"/>
                <w:color w:val="000000"/>
                <w:sz w:val="20"/>
              </w:rPr>
              <w:t>Dated: April 7, 2026</w:t>
            </w:r>
          </w:p>
        </w:tc>
        <w:tc>
          <w:tcPr>
            <w:tcW w:w="4196" w:type="dxa"/>
            <w:tcBorders>
              <w:bottom w:val="single" w:sz="4" w:space="0" w:color="000000"/>
            </w:tcBorders>
            <w:tcMar>
              <w:top w:w="0" w:type="dxa"/>
              <w:left w:w="0" w:type="dxa"/>
              <w:right w:w="0" w:type="dxa"/>
            </w:tcMar>
            <w:vAlign w:val="center"/>
          </w:tcPr>
          <w:p>
            <w:pPr>
              <w:pStyle w:val="TableContents"/>
              <w:bidi w:val="0"/>
              <w:spacing w:before="0" w:after="283"/>
              <w:ind w:left="0" w:right="0" w:firstLine="1300"/>
              <w:jc w:val="left"/>
              <w:rPr>
                <w:rFonts w:ascii="Times New Roman" w:hAnsi="Times New Roman"/>
                <w:color w:val="000000"/>
                <w:sz w:val="20"/>
              </w:rPr>
            </w:pPr>
            <w:r>
              <w:rPr>
                <w:rFonts w:ascii="Times New Roman" w:hAnsi="Times New Roman"/>
                <w:color w:val="000000"/>
                <w:sz w:val="20"/>
              </w:rPr>
              <w:t>/s/ Hajime Uba</w:t>
            </w:r>
          </w:p>
        </w:tc>
      </w:tr>
      <w:tr>
        <w:trPr/>
        <w:tc>
          <w:tcPr>
            <w:tcW w:w="3086" w:type="dxa"/>
            <w:tcBorders/>
            <w:tcMar>
              <w:top w:w="0" w:type="dxa"/>
              <w:left w:w="0" w:type="dxa"/>
              <w:bottom w:w="0" w:type="dxa"/>
              <w:right w:w="0" w:type="dxa"/>
            </w:tcMar>
            <w:vAlign w:val="center"/>
          </w:tcPr>
          <w:p>
            <w:pPr>
              <w:pStyle w:val="TableContents"/>
              <w:bidi w:val="0"/>
              <w:spacing w:before="0" w:after="283"/>
              <w:ind w:left="0" w:right="0" w:firstLine="1400"/>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ind w:left="0" w:right="0" w:firstLine="1400"/>
              <w:jc w:val="left"/>
              <w:rPr>
                <w:rFonts w:ascii="Times New Roman" w:hAnsi="Times New Roman"/>
                <w:color w:val="000000"/>
                <w:sz w:val="20"/>
              </w:rPr>
            </w:pPr>
            <w:r>
              <w:rPr>
                <w:rFonts w:ascii="Times New Roman" w:hAnsi="Times New Roman"/>
                <w:color w:val="000000"/>
                <w:sz w:val="20"/>
              </w:rPr>
              <w:t>Hajime Uba</w:t>
            </w:r>
          </w:p>
        </w:tc>
      </w:tr>
      <w:tr>
        <w:trPr/>
        <w:tc>
          <w:tcPr>
            <w:tcW w:w="308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Chairman, 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krus-ex31_2.htm"/>
      <w:bookmarkStart w:id="25" w:name="kskrus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Jeffrey Uttz,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Kura Sushi USA,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3797" w:type="dxa"/>
        <w:jc w:val="left"/>
        <w:tblInd w:w="0" w:type="dxa"/>
        <w:tblLayout w:type="fixed"/>
        <w:tblCellMar>
          <w:top w:w="28" w:type="dxa"/>
          <w:left w:w="28" w:type="dxa"/>
          <w:bottom w:w="28" w:type="dxa"/>
          <w:right w:w="28" w:type="dxa"/>
        </w:tblCellMar>
      </w:tblPr>
      <w:tblGrid>
        <w:gridCol w:w="1786"/>
        <w:gridCol w:w="2011"/>
      </w:tblGrid>
      <w:tr>
        <w:trPr/>
        <w:tc>
          <w:tcPr>
            <w:tcW w:w="178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April 7, 2026</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Uttz</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Jeffrey Uttz</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krus-ex32_1.htm"/>
      <w:bookmarkStart w:id="27" w:name="kskrus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Kura Sushi USA, Inc. (the “Company”) on Form 10-Q for the period ending February 28,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786"/>
        <w:gridCol w:w="109"/>
        <w:gridCol w:w="406"/>
        <w:gridCol w:w="409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April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Hajime Uba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Hajime Uba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krus-ex32_2.htm"/>
      <w:bookmarkStart w:id="29" w:name="kskrus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Kura Sushi USA, Inc. (the “Company”) on Form 10-Q for the period ending February 28,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312" w:type="dxa"/>
        <w:jc w:val="left"/>
        <w:tblInd w:w="0" w:type="dxa"/>
        <w:tblLayout w:type="fixed"/>
        <w:tblCellMar>
          <w:top w:w="28" w:type="dxa"/>
          <w:left w:w="28" w:type="dxa"/>
          <w:bottom w:w="28" w:type="dxa"/>
          <w:right w:w="28" w:type="dxa"/>
        </w:tblCellMar>
      </w:tblPr>
      <w:tblGrid>
        <w:gridCol w:w="1786"/>
        <w:gridCol w:w="109"/>
        <w:gridCol w:w="406"/>
        <w:gridCol w:w="201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April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Uttz</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Jeffrey Uttz</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14994</Words>
  <Characters>82248</Characters>
  <CharactersWithSpaces>98949</CharactersWithSpaces>
  <Paragraphs>6450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